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800"/>
        <w:jc w:val="center"/>
      </w:pPr>
      <w:r>
        <w:rPr>
          <w:b/>
          <w:bCs/>
          <w:color w:val="1F3864"/>
          <w:sz w:val="56"/>
          <w:szCs w:val="56"/>
        </w:rPr>
        <w:t xml:space="preserve">BookiPos</w:t>
      </w:r>
    </w:p>
    <w:p>
      <w:pPr>
        <w:spacing w:after="240"/>
        <w:jc w:val="center"/>
      </w:pPr>
      <w:r>
        <w:rPr>
          <w:sz w:val="36"/>
          <w:szCs w:val="36"/>
        </w:rPr>
        <w:t xml:space="preserve">Factura electrónica DIAN con APIDIAN</w:t>
      </w:r>
    </w:p>
    <w:p>
      <w:pPr>
        <w:spacing w:after="120"/>
        <w:jc w:val="center"/>
      </w:pPr>
      <w:r>
        <w:rPr>
          <w:i/>
          <w:iCs/>
          <w:sz w:val="26"/>
          <w:szCs w:val="26"/>
        </w:rPr>
        <w:t xml:space="preserve">Guía paso a paso para continuar el trabajo</w:t>
      </w:r>
    </w:p>
    <w:p>
      <w:pPr>
        <w:spacing w:after="2400"/>
        <w:jc w:val="center"/>
      </w:pPr>
      <w:r>
        <w:rPr>
          <w:color w:val="595959"/>
          <w:sz w:val="20"/>
          <w:szCs w:val="20"/>
        </w:rPr>
        <w:t xml:space="preserve">Estado al 3 de octubre de 2026 · rama feat/factura-electronica-apidian (Backend y Frontend)</w:t>
      </w:r>
    </w:p>
    <w:p>
      <w:pPr>
        <w:pageBreakBefore/>
      </w:pPr>
      <w:r>
        <w:rPr>
          <w:b/>
          <w:bCs/>
          <w:sz w:val="28"/>
          <w:szCs w:val="28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Resumen en una página</w:t>
      </w:r>
    </w:p>
    <w:p>
      <w:pPr>
        <w:spacing w:after="120"/>
      </w:pPr>
      <w:r>
        <w:t xml:space="preserve">BookiPos ya tenía la factura electrónica modelada (resoluciones por sede, consecutivo, documento con IVA discriminado), pero nunca la enviaba a la DIAN: calculaba el CUFE localmente y la dejaba en borrador. Este trabajo conecta BookiPos con la DIAN de verdad.</w:t>
      </w:r>
    </w:p>
    <w:p>
      <w:pPr>
        <w:pStyle w:val="Heading3"/>
      </w:pPr>
      <w:r>
        <w:t xml:space="preserve">Decisiones tomadas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Motor: </w:t>
      </w:r>
      <w:r>
        <w:t xml:space="preserve">APIDIAN Community (github.com/facturalatam/apidian), licencia MIT, gratis, instalado en un servidor propio con Docker.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Modalidad DIAN: </w:t>
      </w:r>
      <w:r>
        <w:t xml:space="preserve">"software propio". Cada negocio se habilita a su nombre y compra su certificado digital (≈ $100.000/año). BookiPos NO es proveedor tecnológico y no debe presentarse como 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Factura en vez de POS electrónico: </w:t>
      </w:r>
      <w:r>
        <w:t xml:space="preserve">se emite factura electrónica en todas las ventas (consumidor final 222222222222 por defecto). La Community no trae documento equivalente POS ni nómina; eso es la versión Enterprise (US$200 pago único).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Documentos ilimitados </w:t>
      </w:r>
      <w:r>
        <w:t xml:space="preserve">en todos los planes de BookiPos (el costo por documento con APIDIAN propio es prácticamente cero).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Domicilio: </w:t>
      </w:r>
      <w:r>
        <w:t xml:space="preserve">ahora hace parte de la base gravable (DIAN, Oficio 664 de 2022), con la tarifa de lo que se lleva.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Nómina electrónica: </w:t>
      </w:r>
      <w:r>
        <w:t xml:space="preserve">queda para una fase posterior.</w:t>
      </w:r>
    </w:p>
    <w:p>
      <w:pPr>
        <w:pStyle w:val="Heading3"/>
      </w:pPr>
      <w:r>
        <w:t xml:space="preserve">Dónde estamos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060"/>
        <w:gridCol w:w="36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es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Concepto de contador, negocio piloto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Pendiente (piloto en pausa por decisión del dueño)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Instalar APIDIAN (Docker) local y en VPS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Pendiente: Docker no está instalado en el equipo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Backend: conector, emisión real, reintentos, conexión por NIT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HECHO y probado (913 pruebas en verde)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Asistente de habilitación en el panel + set de pruebas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Pendiente (los endpoints ya existen)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 y panel: estados, descargas, datos del cliente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Parcial (el POS ya muestra el estado)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en habilitación DIAN y piloto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Operación: monitoreo, backups, actualizaciones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Pendiente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Cómo funciona (para entender antes de tocar)</w:t>
      </w:r>
    </w:p>
    <w:p>
      <w:pPr>
        <w:pStyle w:val="Heading2"/>
      </w:pPr>
      <w:r>
        <w:t xml:space="preserve">2.1 Flujo de una factura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El cajero cobra. La venta se guarda igual que siempre.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El POS llama a POST /einvoicing/from-sale.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El backend valida, SIN gastar consecutivo: resolución vigente con clave técnica, datos del cliente completos (si no es consumidor final) y que el NIT esté conectado con la DIAN.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Reserva el número y guarda el documento como "pending" ANTES de enviarlo.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 envía a APIDIAN, que lo firma con el certificado del negocio y lo transmite a la DIAN.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Guarda el resultado: aceptada (CUFE y QR oficiales), rechazada (reglas incumplidas), pendiente (DIAN caída: se reintenta sola) o fallida (configuración).</w:t>
      </w:r>
    </w:p>
    <w:p>
      <w:pPr>
        <w:pBdr>
          <w:left w:val="single" w:color="E69500" w:sz="18" w:space="8"/>
        </w:pBdr>
        <w:shd w:fill="FFF4E5" w:color="auto" w:val="clear"/>
        <w:spacing w:after="160" w:before="80"/>
        <w:ind w:left="240"/>
      </w:pPr>
      <w:r>
        <w:rPr>
          <w:b/>
          <w:bCs/>
        </w:rPr>
        <w:t xml:space="preserve">Regla de oro: </w:t>
      </w:r>
      <w:r>
        <w:t xml:space="preserve">un número autorizado por la DIAN nunca se gasta en un documento que no puede salir, y un documento pendiente se reintenta SIEMPRE con el mismo número. Si la DIAN ya lo tenía, se consulta su estado por CUFE en vez de reenviarlo.</w:t>
      </w:r>
    </w:p>
    <w:p>
      <w:pPr>
        <w:pStyle w:val="Heading2"/>
      </w:pPr>
      <w:r>
        <w:t xml:space="preserve">2.2 Estados del documento (dianStatus)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00"/>
        <w:gridCol w:w="40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hacer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pending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Número reservado, la DIAN no ha confirmado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Nada: el barrido lo reintenta (1 min, 5, 15, 1 h, 3 h, 12 h)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Validado por la DIAN: es factura legal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Nada. Ya se puede anular con nota crédito si hace falta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DIAN (o APIDIAN por datos inválidos) lo rechazó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Corregir el dato y POST /einvoicing/:id/retry (mismo número)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failed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Configuración: certificado vencido, NIT sin conexión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Arreglar la conexión y reenviar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draft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Documentos viejos, de antes de la integración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se envían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2.3 Mapa del código</w:t>
      </w:r>
    </w:p>
    <w:p>
      <w:pPr>
        <w:spacing w:after="120"/>
      </w:pPr>
      <w:r>
        <w:t xml:space="preserve">Todo el backend nuevo está en </w:t>
      </w:r>
      <w:r>
        <w:rPr>
          <w:rFonts w:ascii="Consolas" w:cs="Consolas" w:eastAsia="Consolas" w:hAnsi="Consolas"/>
          <w:sz w:val="20"/>
          <w:szCs w:val="20"/>
        </w:rPr>
        <w:t xml:space="preserve">Backend/src/modules/einvoicing/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Archivo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Para qué sirve</w:t>
            </w:r>
          </w:p>
        </w:tc>
      </w:tr>
      <w:t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application/einvoice-provider.ts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Interfaz EinvoiceProvider: lo único que el servicio sabe del proveedor</w:t>
            </w:r>
          </w:p>
        </w:tc>
      </w:tr>
      <w:t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infrastructure/apidian.client.ts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HTTP real de APIDIAN (envío, consulta, configuración, descargas)</w:t>
            </w:r>
          </w:p>
        </w:tc>
      </w:tr>
      <w:t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infrastructure/fake-einvoice.provider.ts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Proveedor simulado para desarrollo y demos: acepta todo, CUFE sin valor</w:t>
            </w:r>
          </w:p>
        </w:tc>
      </w:tr>
      <w:t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domain/apidian-mapper.ts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Traduce el documento al JSON de APIDIAN e interpreta su respuesta</w:t>
            </w:r>
          </w:p>
        </w:tc>
      </w:tr>
      <w:t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domain/apidian-catalogs.ts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Ids de las tablas de APIDIAN (impuestos, documentos, municipios…)</w:t>
            </w:r>
          </w:p>
        </w:tc>
      </w:tr>
      <w:t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domain/apidian-municipalities.data.ts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Municipios con id APIDIAN (generado de su CSV, no editar a mano)</w:t>
            </w:r>
          </w:p>
        </w:tc>
      </w:tr>
      <w:t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application/einvoicing.service.ts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Emisión, nota crédito, reenvío, reintentos, descargas</w:t>
            </w:r>
          </w:p>
        </w:tc>
      </w:tr>
      <w:t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application/einvoicing-accounts.service.ts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Conexión de cada NIT: empresa, certificado, software, ambiente</w:t>
            </w:r>
          </w:p>
        </w:tc>
      </w:tr>
      <w:t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application/einvoicing-retry.scheduler.ts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Barrido cada 2 min que reintenta pendientes en todas las empresas</w:t>
            </w:r>
          </w:p>
        </w:tc>
      </w:tr>
      <w:t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infrastructure/schemas/einvoicing-account.schema.ts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Colección einvoicing_accounts (una por NIT, token cifrado)</w:t>
            </w:r>
          </w:p>
        </w:tc>
      </w:tr>
      <w:t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shared/crypto/secret-box.ts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Cifrado AES-256-GCM de los tokens de cada empresa</w:t>
            </w:r>
          </w:p>
        </w:tc>
      </w:tr>
      <w:t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sales/domain/delivery-tax.ts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Reparto del impuesto del domicilio entre tarifas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APIDIAN responde "success: true" aunque la DIAN rechace. </w:t>
      </w:r>
      <w:r>
        <w:t xml:space="preserve">El veredicto real está en ResponseDian…IsValid. La única función que lo lee es interpretApidianResponse en apidian-mapper.ts; no lo interpretes en otro lado.</w:t>
      </w:r>
    </w:p>
    <w:p>
      <w:pPr>
        <w:pStyle w:val="Heading1"/>
      </w:pPr>
      <w:r>
        <w:t xml:space="preserve">3. Poner a correr el proyecto con estos cambios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Clonar o actualizar los dos repositorios y pasarse a la rama:</w:t>
      </w:r>
    </w:p>
    <w:p>
      <w:pPr>
        <w:shd w:fill="F2F2F2" w:color="auto" w:val="clear"/>
        <w:spacing w:after="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git fetch origin</w:t>
      </w:r>
    </w:p>
    <w:p>
      <w:pPr>
        <w:shd w:fill="F2F2F2" w:color="auto" w:val="clear"/>
        <w:spacing w:after="16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git checkout feat/factura-electronica-apidian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Instalar dependencias en cada repo con pnpm install.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Sin APIDIAN instalado, el backend arranca en </w:t>
      </w:r>
      <w:r>
        <w:rPr>
          <w:b/>
          <w:bCs/>
        </w:rPr>
        <w:t xml:space="preserve">modo simulado</w:t>
      </w:r>
      <w:r>
        <w:t xml:space="preserve">: las facturas salen "aceptadas" sin ir a la DIAN. Sirve para probar el flujo completo del POS.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Correr las pruebas del backend (deben pasar todas):</w:t>
      </w:r>
    </w:p>
    <w:p>
      <w:pPr>
        <w:shd w:fill="F2F2F2" w:color="auto" w:val="clear"/>
        <w:spacing w:after="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cd Backend</w:t>
      </w:r>
    </w:p>
    <w:p>
      <w:pPr>
        <w:shd w:fill="F2F2F2" w:color="auto" w:val="clear"/>
        <w:spacing w:after="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pnpm test</w:t>
      </w:r>
    </w:p>
    <w:p>
      <w:pPr>
        <w:shd w:fill="F2F2F2" w:color="auto" w:val="clear"/>
        <w:spacing w:after="16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pnpm build</w:t>
      </w:r>
    </w:p>
    <w:p>
      <w:pPr>
        <w:pStyle w:val="Heading2"/>
      </w:pPr>
      <w:r>
        <w:t xml:space="preserve">3.1 Variables de entorno nuevas (Backend/.env)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500"/>
        <w:gridCol w:w="42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Variable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EINVOICING_PROVIDER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apidian | simulado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Sin valor: apidian si hay APIDIAN_URL, si no simulado. En producción, apidian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APIDIAN_URL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http://localhost:8080/api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 INTERNA de APIDIAN, terminada en /api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EINVOICING_SECRET_KEY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≥ 32 caracteres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Cifra los tokens. Si se pierde o se cambia, hay que reconectar todas las empresas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Para generar la llave:</w:t>
      </w:r>
    </w:p>
    <w:p>
      <w:pPr>
        <w:shd w:fill="F2F2F2" w:color="auto" w:val="clear"/>
        <w:spacing w:after="16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node -e "console.log(require('crypto').randomBytes(48).toString('base64'))"</w:t>
      </w:r>
    </w:p>
    <w:p>
      <w:pPr>
        <w:pStyle w:val="Heading1"/>
      </w:pPr>
      <w:r>
        <w:t xml:space="preserve">4. Fase 1 — Instalar APIDIAN</w:t>
      </w:r>
    </w:p>
    <w:p>
      <w:pPr>
        <w:pBdr>
          <w:left w:val="single" w:color="E69500" w:sz="18" w:space="8"/>
        </w:pBdr>
        <w:shd w:fill="FFF4E5" w:color="auto" w:val="clear"/>
        <w:spacing w:after="160" w:before="80"/>
        <w:ind w:left="240"/>
      </w:pPr>
      <w:r>
        <w:t xml:space="preserve">APIDIAN firma con los certificados de TODAS las empresas. Nunca se expone a internet: vive en la misma red privada que el backend.</w:t>
      </w:r>
    </w:p>
    <w:p>
      <w:pPr>
        <w:pStyle w:val="Heading2"/>
      </w:pPr>
      <w:r>
        <w:t xml:space="preserve">4.1 En el equipo local (Windows)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Instalar Docker Desktop para Windows (pide administrador y reinicio).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Clonar APIDIAN fuera del proyecto:</w:t>
      </w:r>
    </w:p>
    <w:p>
      <w:pPr>
        <w:shd w:fill="F2F2F2" w:color="auto" w:val="clear"/>
        <w:spacing w:after="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https://github.com/facturalatam/apidian.git</w:t>
      </w:r>
    </w:p>
    <w:p>
      <w:pPr>
        <w:shd w:fill="F2F2F2" w:color="auto" w:val="clear"/>
        <w:spacing w:after="16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cd apidian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Seguir la guía oficial INSTALACION.md, opción C (Docker): editar docker/init.sql con usuario y clave de base de datos, copiar docker-compose.yml.example a docker-compose.yml y .env.example a .env.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En el .env de APIDIAN poner </w:t>
      </w:r>
      <w:r>
        <w:rPr>
          <w:rFonts w:ascii="Consolas" w:cs="Consolas" w:eastAsia="Consolas" w:hAnsi="Consolas"/>
          <w:sz w:val="20"/>
          <w:szCs w:val="20"/>
        </w:rPr>
        <w:t xml:space="preserve">VALIDATE_BEFORE_SENDING=true</w:t>
      </w:r>
      <w:r>
        <w:t xml:space="preserve"> (protege contra reenvíos duplicados) y dejar </w:t>
      </w:r>
      <w:r>
        <w:rPr>
          <w:rFonts w:ascii="Consolas" w:cs="Consolas" w:eastAsia="Consolas" w:hAnsi="Consolas"/>
          <w:sz w:val="20"/>
          <w:szCs w:val="20"/>
        </w:rPr>
        <w:t xml:space="preserve">ENABLE_API_REGISTER=true</w:t>
      </w:r>
      <w:r>
        <w:t xml:space="preserve"> (permite crear empresas por API).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Levantar los contenedores y correr los comandos de Laravel que indica la guía (composer install, migraciones, seeders de catálogos):</w:t>
      </w:r>
    </w:p>
    <w:p>
      <w:pPr>
        <w:shd w:fill="F2F2F2" w:color="auto" w:val="clear"/>
        <w:spacing w:after="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docker network create apinet</w:t>
      </w:r>
    </w:p>
    <w:p>
      <w:pPr>
        <w:shd w:fill="F2F2F2" w:color="auto" w:val="clear"/>
        <w:spacing w:after="16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docker compose up -d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En Backend/.env: </w:t>
      </w:r>
      <w:r>
        <w:rPr>
          <w:rFonts w:ascii="Consolas" w:cs="Consolas" w:eastAsia="Consolas" w:hAnsi="Consolas"/>
          <w:sz w:val="20"/>
          <w:szCs w:val="20"/>
        </w:rPr>
        <w:t xml:space="preserve">EINVOICING_PROVIDER=apidian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APIDIAN_URL=http://localhost:&lt;puerto&gt;/api</w:t>
      </w:r>
      <w: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EINVOICING_SECRET_KEY</w:t>
      </w:r>
      <w:r>
        <w:t xml:space="preserve">. Reiniciar el backend: el log debe decir "Facturación electrónica con APIDIAN".</w:t>
      </w:r>
    </w:p>
    <w:p>
      <w:pPr>
        <w:pStyle w:val="Heading2"/>
      </w:pPr>
      <w:r>
        <w:t xml:space="preserve">4.2 En producción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VPS Linux de 2 CPU / 4 GB con Docker (Contabo o Hetzner ≈ US$5–10/mes; DigitalOcean ≈ US$24/mes). Puede ser el mismo servidor del backend.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APIDIAN en la red interna de Docker; el backend lo llama por nombre de servicio (p. ej. http://apidian/api). Sin puerto publicado.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Backup diario de la base MySQL de APIDIAN (tiene los certificados y los XML).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Monitorear que APIDIAN responda; documentar cómo actualizarlo cuando la DIAN cambie el anexo técnico.</w:t>
      </w:r>
    </w:p>
    <w:p>
      <w:pPr>
        <w:pStyle w:val="Heading1"/>
      </w:pPr>
      <w:r>
        <w:t xml:space="preserve">5. Habilitar un negocio ante la DIAN</w:t>
      </w:r>
    </w:p>
    <w:p>
      <w:pPr>
        <w:spacing w:after="120"/>
      </w:pPr>
      <w:r>
        <w:t xml:space="preserve">Esto se repite por cada NIT. Lo que hace el negocio fuera de BookiPos: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Inscribirse como facturador electrónico en el portal de la DIAN y escoger la modalidad "software propio". La DIAN entrega el ID del software y el ID del set de pruebas; el PIN (5 dígitos) lo escoge el negocio.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Comprar su certificado digital (.p12) en una entidad acreditada por la ONAC (GSE, Certicámara, Andes, Camerfirma…). Lo puede comprar donde quiera.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Pedir su resolución de numeración de factura electrónica.</w:t>
      </w:r>
    </w:p>
    <w:p>
      <w:pPr>
        <w:spacing w:after="120"/>
      </w:pPr>
      <w:r>
        <w:t xml:space="preserve">Lo que se hace en BookiPos (hoy por API; la Fase 3 lo pone en pantalla). Todo exige el permiso einvoicing.configure (Dueño y Administrador):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00"/>
        <w:gridCol w:w="426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Paso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hace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 /einvoicing/connection/company { sedeId 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 la empresa en APIDIAN con los datos fiscales de la sede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PUT /einvoicing/connection/:nit/certificate { certificate, password 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Sube el .p12 en base64. Pasa a APIDIAN; BookiPos no lo guarda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PUT /einvoicing/connection/:nit/software { softwareId, pin, testSetId 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 el software propio y el set de pruebas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 /einvoicing/connection/resolutions/:sedeId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 la resolución de la sede y la numeración NC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(Fase 3) enviar el set de pruebas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Pendiente de construir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 /einvoicing/connection/:nit/numbering-ranges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Trae de la DIAN el rango y la clave técnica de producción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PUT /einvoicing/connection/:nit/environment { produccion 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Pasa a producción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 /einvoicing/connection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 de cada NIT y su último error</w:t>
            </w:r>
          </w:p>
        </w:tc>
      </w:tr>
    </w:tbl>
    <w:p>
      <w:pPr>
        <w:spacing w:after="120"/>
      </w:pPr>
    </w:p>
    <w:p>
      <w:pPr>
        <w:pBdr>
          <w:left w:val="single" w:color="E69500" w:sz="18" w:space="8"/>
        </w:pBdr>
        <w:shd w:fill="FFF4E5" w:color="auto" w:val="clear"/>
        <w:spacing w:after="160" w:before="80"/>
        <w:ind w:left="240"/>
      </w:pPr>
      <w:r>
        <w:rPr>
          <w:b/>
          <w:bCs/>
        </w:rPr>
        <w:t xml:space="preserve">Datos de la sede que exige APIDIAN: </w:t>
      </w:r>
      <w:r>
        <w:t xml:space="preserve">NIT, razón social, dirección, teléfono de 7 a 10 dígitos, correo de facturación, y departamento + ciudad reconocibles (se buscan en la tabla de municipios; también acepta el código DANE). Si falta algo, el error dice exactamente qué.</w:t>
      </w:r>
    </w:p>
    <w:p>
      <w:pPr>
        <w:spacing w:after="120"/>
      </w:pPr>
      <w:r>
        <w:t xml:space="preserve">En habilitación, la clave técnica es siempre </w:t>
      </w:r>
      <w:r>
        <w:rPr>
          <w:rFonts w:ascii="Consolas" w:cs="Consolas" w:eastAsia="Consolas" w:hAnsi="Consolas"/>
          <w:sz w:val="20"/>
          <w:szCs w:val="20"/>
        </w:rPr>
        <w:t xml:space="preserve">fc8eac422eba16e22ffd8c6f94b3f40a6e38162c</w:t>
      </w:r>
      <w:r>
        <w:t xml:space="preserve">. En producción se obtiene con el paso 6.</w:t>
      </w:r>
    </w:p>
    <w:p>
      <w:pPr>
        <w:pStyle w:val="Heading1"/>
      </w:pPr>
      <w:r>
        <w:t xml:space="preserve">6. Lo que falta, en orden</w:t>
      </w:r>
    </w:p>
    <w:p>
      <w:pPr>
        <w:pStyle w:val="Heading2"/>
      </w:pPr>
      <w:r>
        <w:t xml:space="preserve">6.1 Fase 3 — Asistente de habilitación (panel)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Pantalla nueva, por ejemplo </w:t>
      </w:r>
      <w:r>
        <w:rPr>
          <w:rFonts w:ascii="Consolas" w:cs="Consolas" w:eastAsia="Consolas" w:hAnsi="Consolas"/>
          <w:sz w:val="20"/>
          <w:szCs w:val="20"/>
        </w:rPr>
        <w:t xml:space="preserve">/panel/facturacion/conexion</w:t>
      </w:r>
      <w:r>
        <w:t xml:space="preserve">, que recorra los pasos de la sección 5 con su estado. El cliente HTTP ya existe en </w:t>
      </w:r>
      <w:r>
        <w:rPr>
          <w:rFonts w:ascii="Consolas" w:cs="Consolas" w:eastAsia="Consolas" w:hAnsi="Consolas"/>
          <w:sz w:val="20"/>
          <w:szCs w:val="20"/>
        </w:rPr>
        <w:t xml:space="preserve">Frontend/src/lib/erp/api-einvoicing.ts</w:t>
      </w:r>
      <w:r>
        <w:t xml:space="preserve"> (listConnections, registerCompany, uploadCertificate, configureSoftware, syncResolutions, getNumberingRanges, setEnvironment).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Subida del .p12: leer el archivo en el navegador y mandarlo en base64 (máx. 64 KB).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 de pruebas: construir en el backend el envío de los documentos que pide la DIAN a /ubl2.1/invoice/{testSetId} (modo asíncrono) y consultar el resultado con /ubl2.1/status/zip/{zipKey}. Al aprobarse, permitir el paso a producción.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Agregar el ítem al menú en Frontend/src/lib/erp/navigation.ts con requiredPermissions ["einvoicing.configure"].</w:t>
      </w:r>
    </w:p>
    <w:p>
      <w:pPr>
        <w:pStyle w:val="Heading2"/>
      </w:pPr>
      <w:r>
        <w:t xml:space="preserve">6.2 Fase 4 — POS y panel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Datos del cliente en el POS: </w:t>
      </w:r>
      <w:r>
        <w:t xml:space="preserve">agregar los campos dirección y tipo de documento (13 CC, 31 NIT, 22 CE, 41 pasaporte). El backend ya los acepta (customer.address, customer.idType en la venta). </w:t>
      </w:r>
      <w:r>
        <w:rPr>
          <w:b/>
          <w:bCs/>
        </w:rPr>
        <w:t xml:space="preserve">Mientras no estén, facturar con datos de un cliente da "falta dirección"</w:t>
      </w:r>
      <w:r>
        <w:t xml:space="preserve">; consumidor final funciona.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Panel /panel/facturacion: mostrar dianStatus, dianMessage y dianErrors; botón "Reenviar" (retryDocument) y descargas de PDF/XML (downloadDocumentFile).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Recibo impreso: usar el CUFE y el qrUrl oficiales del documento aceptado.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Alertas: certificado por vencer (certificateExpiresAt), pendientes de más de X horas y rechazos.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Validar que la propina no pase del 10 % (requisito legal para excluirla de la base).</w:t>
      </w:r>
    </w:p>
    <w:p>
      <w:pPr>
        <w:pStyle w:val="Heading2"/>
      </w:pPr>
      <w:r>
        <w:t xml:space="preserve">6.3 Pendientes de modelo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INC de restaurantes: </w:t>
      </w:r>
      <w:r>
        <w:t xml:space="preserve">las líneas de venta solo tienen ivaRate; un plato con INC del 8 % saldría como IVA. El conector ya soporta taxKind "inc"; falta que el catálogo marque el tipo de impuesto y que la venta lo guarde por línea.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Excluidos vs. exentos: hoy toda línea al 0 % viaja como IVA 0 %. Si un producto es excluido debería ir con taxKind "none".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Sedes del mismo NIT deben usar prefijos distintos (cada prefijo es una resolución en APIDIAN).</w:t>
      </w:r>
    </w:p>
    <w:p>
      <w:pPr>
        <w:pStyle w:val="Heading2"/>
      </w:pPr>
      <w:r>
        <w:t xml:space="preserve">6.4 Fase 0 y piloto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Pedir concepto a un contador o abogado tributario sobre el modelo SaaS con software propio, el domicilio y la propina.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Escoger un negocio piloto cuando el dueño lo decida, habilitarlo y revisar 1–2 semanas cada factura en el portal de la DIAN.</w:t>
      </w:r>
    </w:p>
    <w:p>
      <w:pPr>
        <w:pStyle w:val="Heading1"/>
      </w:pPr>
      <w:r>
        <w:t xml:space="preserve">7. Otros cambios incluidos en esta rama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Planes: </w:t>
      </w:r>
      <w:r>
        <w:rPr>
          <w:rFonts w:ascii="Consolas" w:cs="Consolas" w:eastAsia="Consolas" w:hAnsi="Consolas"/>
          <w:sz w:val="20"/>
          <w:szCs w:val="20"/>
        </w:rPr>
        <w:t xml:space="preserve">documentsPerMonth: null</w:t>
      </w:r>
      <w:r>
        <w:t xml:space="preserve"> (ilimitado) en Backend/src/modules/control/domain/plans.ts. El conteo mensual se sigue llevando para mostrarlo.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Paquete de documentos: </w:t>
      </w:r>
      <w:r>
        <w:t xml:space="preserve">ya no se vende. BillingService.purchaseDocs responde 400 sin cobrar; los pagos de paquetes viejos se siguen acreditando.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Web y panel: </w:t>
      </w:r>
      <w:r>
        <w:t xml:space="preserve">textos de planes actualizados a "Factura electrónica DIAN ilimitada"; la página de plan ya no ofrece comprar documentos.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Domicilio: </w:t>
      </w:r>
      <w:r>
        <w:t xml:space="preserve">la venta guarda deliveryTaxes (base e impuesto por tarifa) y los suma a taxableBase/taxTotal; la contabilidad separa ese impuesto.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Permiso nuevo: </w:t>
      </w:r>
      <w:r>
        <w:rPr>
          <w:rFonts w:ascii="Consolas" w:cs="Consolas" w:eastAsia="Consolas" w:hAnsi="Consolas"/>
          <w:sz w:val="20"/>
          <w:szCs w:val="20"/>
        </w:rPr>
        <w:t xml:space="preserve">einvoicing.configure</w:t>
      </w:r>
      <w:r>
        <w:t xml:space="preserve"> (solo Dueño y Administrador por defecto), replicado en Frontend/src/lib/access.ts.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Nota crédito: </w:t>
      </w:r>
      <w:r>
        <w:t xml:space="preserve">solo sobre facturas aceptadas; numeración NC por NIT (contador nc:nit:&lt;nit&gt;).</w:t>
      </w:r>
    </w:p>
    <w:p>
      <w:pPr>
        <w:pStyle w:val="Heading1"/>
      </w:pPr>
      <w:r>
        <w:t xml:space="preserve">8. Seguridad y riesgos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Riesgo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Cómo está cubierto / qué falta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Robo de certificados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.p12 no se guarda en BookiPos; el token por empresa va cifrado. APIDIAN debe quedar en red privada y con backups cifrados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Cambios de la DIAN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APIDIAN cuando cambie el anexo técnico (vigilar su repositorio)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DIAN o APIDIAN caídos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venta no se bloquea; reintentos automáticos con el mismo número. Falta contingencia formal tipo 4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Errores de cálculo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mapeador recalcula impuesto = base × tarifa y cuadra totales al centavo (con pruebas)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Perder la llave de cifrado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Guardarla en el gestor de secretos del servidor; si se pierde, reconectar cada NIT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Modo simulado en producción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log lo marca como ERROR; revisar EINVOICING_PROVIDER=apidian al desplegar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9. Referencias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APIDIAN Community: https://github.com/facturalatam/apidian (guía INSTALACION.md, carpeta docs/)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Colección Postman de APIDIAN: https://documenter.getpostman.com/view/1431398/2sAY4uCido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de Factura Latam: https://manual.facturalatam.com/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Oficio DIAN 664 (904106) de 2022: el domicilio hace parte de la base gravable del INC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Ley 1935 de 2018: la propina voluntaria no hace parte de la base gravable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Resolución DIAN 165 de 2023: documento equivalente POS (tope de 5 UVT)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BookiPos · Factura electrónica con APIDIAN · página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Factura electrónica DIAN con APIDIAN — guía paso a paso</dc:title>
  <dc:creator>BookiPos</dc:creator>
  <cp:lastModifiedBy>Un-named</cp:lastModifiedBy>
  <cp:revision>1</cp:revision>
  <dcterms:created xsi:type="dcterms:W3CDTF">2026-10-03T18:26:43.763Z</dcterms:created>
  <dcterms:modified xsi:type="dcterms:W3CDTF">2026-10-03T18:26:43.764Z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