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E3C"/>
          <w:sz w:val="48"/>
        </w:rPr>
        <w:t>Techcrush NFT Assignment</w:t>
      </w:r>
    </w:p>
    <w:p>
      <w:pPr>
        <w:jc w:val="center"/>
      </w:pPr>
      <w:r>
        <w:rPr>
          <w:rFonts w:ascii="Arial" w:hAnsi="Arial"/>
          <w:color w:val="646464"/>
          <w:sz w:val="22"/>
        </w:rPr>
        <w:t>Student: Harry Joseph Soronnadi  |  Network: Ethereum Sepolia  |  Symbol: TCRUSH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GitHub Repository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color w:val="0066CC"/>
                <w:sz w:val="19"/>
              </w:rPr>
              <w:t>https://github.com/Bookofharry/techcrush-nft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Deployed Contract (Sepolia)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color w:val="0066CC"/>
                <w:sz w:val="19"/>
              </w:rPr>
              <w:t>0x62DEd3949ED5EF6af1784Cace3393e504B9656D9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Deployment Transaction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color w:val="0066CC"/>
                <w:sz w:val="19"/>
              </w:rPr>
              <w:t>0xf4b789bcd502abd2bc6793480e7cdb77bc5819d0938502485dd74e1f7eabe22d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Mint Transaction (Token #1)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color w:val="0066CC"/>
                <w:sz w:val="19"/>
              </w:rPr>
              <w:t>0xac5697902f1ff96f482a2388dc1f39f4adc864ab012ce42703ea46278877eb80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Token Recipient / Owner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color w:val="0066CC"/>
                <w:sz w:val="19"/>
              </w:rPr>
              <w:t>0xc5e058e6B8BeAC6EFa667e958D8cA0E3EE36a292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43264"/>
          <w:sz w:val="28"/>
        </w:rPr>
        <w:t>1. Smart Contract Compilation (forge build)</w:t>
      </w:r>
    </w:p>
    <w:p>
      <w:r>
        <w:rPr>
          <w:rFonts w:ascii="Arial" w:hAnsi="Arial"/>
          <w:color w:val="3C3C3C"/>
          <w:sz w:val="21"/>
        </w:rPr>
        <w:t>The contract compiles cleanly with Foundry's Solc 0.8.30 compiler. All 43 files, including OpenZeppelin contracts (ERC721URIStorage, Ownable), are compiled without warnings.</w:t>
      </w:r>
    </w:p>
    <w:p>
      <w:pPr>
        <w:spacing w:before="120" w:after="3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1628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mpi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2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b/>
          <w:color w:val="143264"/>
          <w:sz w:val="28"/>
        </w:rPr>
        <w:t>2. Automated Contract Testing (forge test -vv)</w:t>
      </w:r>
    </w:p>
    <w:p>
      <w:r>
        <w:rPr>
          <w:rFonts w:ascii="Arial" w:hAnsi="Arial"/>
          <w:color w:val="3C3C3C"/>
          <w:sz w:val="21"/>
        </w:rPr>
        <w:t>All 12 unit tests pass successfully, validating collection identity, safe minting, sequential token IDs, metadata URI persistence, access control (onlyOwner), and ERC-721 transfer permissions.</w:t>
      </w:r>
    </w:p>
    <w:p>
      <w:pPr>
        <w:spacing w:before="120" w:after="3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3306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6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b/>
          <w:color w:val="143264"/>
          <w:sz w:val="28"/>
        </w:rPr>
        <w:t>3. Sepolia Contract Deployment</w:t>
      </w:r>
    </w:p>
    <w:p>
      <w:r>
        <w:rPr>
          <w:rFonts w:ascii="Arial" w:hAnsi="Arial"/>
          <w:color w:val="3C3C3C"/>
          <w:sz w:val="21"/>
        </w:rPr>
        <w:t>The TechcrushNFT contract was successfully broadcast and verified on Ethereum Sepolia at address 0x62DEd3949ED5EF6af1784Cace3393e504B9656D9 with receipt status 0x1 (Success).</w:t>
      </w:r>
    </w:p>
    <w:p>
      <w:pPr>
        <w:spacing w:before="120" w:after="3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3076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polia-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b/>
          <w:color w:val="143264"/>
          <w:sz w:val="28"/>
        </w:rPr>
        <w:t>4. Sepolia Token Minting (Techcrush #1)</w:t>
      </w:r>
    </w:p>
    <w:p>
      <w:r>
        <w:rPr>
          <w:rFonts w:ascii="Arial" w:hAnsi="Arial"/>
          <w:color w:val="3C3C3C"/>
          <w:sz w:val="21"/>
        </w:rPr>
        <w:t>Token #1 was successfully minted to recipient 0xc5e058e6B8BeAC6EFa667e958D8cA0E3EE36a292. Both ownerOf(1) and tokenURI(1) were verified on Ethereum Sepolia.</w:t>
      </w:r>
    </w:p>
    <w:p>
      <w:pPr>
        <w:spacing w:before="120" w:after="3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2735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polia-min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358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