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6324F"/>
          <w:sz w:val="68"/>
        </w:rPr>
        <w:t>SVT NEXUS</w:t>
      </w:r>
    </w:p>
    <w:p>
      <w:pPr>
        <w:jc w:val="center"/>
      </w:pPr>
      <w:r>
        <w:rPr>
          <w:rFonts w:ascii="Aptos Display" w:hAnsi="Aptos Display"/>
          <w:b/>
          <w:color w:val="1B7F79"/>
          <w:sz w:val="44"/>
        </w:rPr>
        <w:t>2026–2029 Financial Estimate and</w:t>
        <w:br/>
        <w:t>Offering Support Memorandum</w:t>
      </w:r>
    </w:p>
    <w:p>
      <w:pPr>
        <w:spacing w:before="280"/>
        <w:jc w:val="center"/>
      </w:pPr>
      <w:r>
        <w:rPr>
          <w:b/>
          <w:color w:val="667085"/>
          <w:sz w:val="22"/>
        </w:rPr>
        <w:t>VERSION 4  •  POSITIVE-INCOME OPERATING CASE</w:t>
      </w:r>
    </w:p>
    <w:tbl>
      <w:tblPr>
        <w:tblW w:type="auto" w:w="0"/>
        <w:tblLook w:firstColumn="1" w:firstRow="1" w:lastColumn="0" w:lastRow="0" w:noHBand="0" w:noVBand="1" w:val="04A0"/>
      </w:tblPr>
      <w:tblGrid>
        <w:gridCol w:w="10166"/>
      </w:tblGrid>
      <w:tr>
        <w:tc>
          <w:tcPr>
            <w:tcW w:type="dxa" w:w="10166"/>
            <w:shd w:fill="EAF4F3"/>
            <w:tcMar>
              <w:top w:w="170" w:type="dxa"/>
              <w:start w:w="170" w:type="dxa"/>
              <w:bottom w:w="170" w:type="dxa"/>
              <w:end w:w="170" w:type="dxa"/>
            </w:tcMar>
          </w:tcPr>
          <w:p>
            <w:pPr>
              <w:spacing w:after="0"/>
            </w:pPr>
            <w:r>
              <w:rPr>
                <w:b/>
                <w:color w:val="16324F"/>
                <w:sz w:val="18"/>
              </w:rPr>
              <w:t>$3.0M maximum • $1.25M Phase 1 / $1.75M milestone-gated Phase 2 • 4% quarterly cash coupon • 5% PIK • illustrative conversion terms</w:t>
            </w:r>
          </w:p>
        </w:tc>
      </w:tr>
    </w:tbl>
    <w:p>
      <w:pPr>
        <w:spacing w:after="20"/>
      </w:pPr>
    </w:p>
    <w:p>
      <w:pPr>
        <w:spacing w:before="1500"/>
        <w:jc w:val="center"/>
      </w:pPr>
      <w:r>
        <w:rPr>
          <w:i/>
          <w:color w:val="667085"/>
          <w:sz w:val="17"/>
        </w:rPr>
        <w:t>This document is internal financial support, not a PPM, offering circular, legal opinion, or recommendation to invest.</w:t>
      </w:r>
    </w:p>
    <w:p>
      <w:r>
        <w:br w:type="page"/>
      </w:r>
    </w:p>
    <w:p>
      <w:pPr>
        <w:pStyle w:val="Heading1"/>
      </w:pPr>
      <w:r>
        <w:t>1. Executive Decision Summary</w:t>
      </w:r>
    </w:p>
    <w:p>
      <w:r>
        <w:t>Version 4 produces positive 2027 net income through an evidence-dependent 18-client ramp and staged operating deployment—not through a manual profit override. The model retains the 4% cash / 5% PIK structure, phased funding, bad debt, differentiated direct costs, full interest expense, and the Section 163(j) tax stress test. Ending clients increase to 18, 24, and 30 in 2027, 2028, and 2029.</w:t>
      </w:r>
    </w:p>
    <w:tbl>
      <w:tblPr>
        <w:tblW w:type="auto" w:w="0"/>
        <w:tblLook w:firstColumn="1" w:firstRow="1" w:lastColumn="0" w:lastRow="0" w:noHBand="0" w:noVBand="1" w:val="04A0"/>
      </w:tblPr>
      <w:tblGrid>
        <w:gridCol w:w="10166"/>
      </w:tblGrid>
      <w:tr>
        <w:tc>
          <w:tcPr>
            <w:tcW w:type="dxa" w:w="10166"/>
            <w:shd w:fill="FFF4E5"/>
            <w:tcMar>
              <w:top w:w="170" w:type="dxa"/>
              <w:start w:w="170" w:type="dxa"/>
              <w:bottom w:w="170" w:type="dxa"/>
              <w:end w:w="170" w:type="dxa"/>
            </w:tcMar>
          </w:tcPr>
          <w:p>
            <w:pPr>
              <w:spacing w:after="0"/>
            </w:pPr>
            <w:r>
              <w:rPr>
                <w:b/>
                <w:color w:val="16324F"/>
                <w:sz w:val="18"/>
              </w:rPr>
              <w:t>Proposed terms are modeling assumptions only. Management and securities counsel must approve the actual note, conversion mechanics, offering exemption, PPM, subscription agreement, and closing process.</w:t>
            </w:r>
          </w:p>
        </w:tc>
      </w:tr>
    </w:tbl>
    <w:p>
      <w:pPr>
        <w:spacing w:after="20"/>
      </w:pP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3096"/>
            <w:shd w:fill="1B7F79"/>
            <w:tcMar>
              <w:top w:w="110" w:type="dxa"/>
              <w:start w:w="110" w:type="dxa"/>
              <w:bottom w:w="110" w:type="dxa"/>
              <w:end w:w="110" w:type="dxa"/>
            </w:tcMar>
            <w:vAlign w:val="center"/>
          </w:tcPr>
          <w:p>
            <w:r>
              <w:rPr>
                <w:b/>
                <w:color w:val="FFFFFF"/>
                <w:sz w:val="16"/>
              </w:rPr>
              <w:t>Metric</w:t>
            </w:r>
          </w:p>
        </w:tc>
        <w:tc>
          <w:tcPr>
            <w:tcW w:type="dxa" w:w="1512"/>
            <w:shd w:fill="1B7F79"/>
            <w:tcMar>
              <w:top w:w="110" w:type="dxa"/>
              <w:start w:w="110" w:type="dxa"/>
              <w:bottom w:w="110" w:type="dxa"/>
              <w:end w:w="110" w:type="dxa"/>
            </w:tcMar>
            <w:vAlign w:val="center"/>
          </w:tcPr>
          <w:p>
            <w:r>
              <w:rPr>
                <w:b/>
                <w:color w:val="FFFFFF"/>
                <w:sz w:val="16"/>
              </w:rPr>
              <w:t>2026</w:t>
            </w:r>
          </w:p>
        </w:tc>
        <w:tc>
          <w:tcPr>
            <w:tcW w:type="dxa" w:w="1512"/>
            <w:shd w:fill="1B7F79"/>
            <w:tcMar>
              <w:top w:w="110" w:type="dxa"/>
              <w:start w:w="110" w:type="dxa"/>
              <w:bottom w:w="110" w:type="dxa"/>
              <w:end w:w="110" w:type="dxa"/>
            </w:tcMar>
            <w:vAlign w:val="center"/>
          </w:tcPr>
          <w:p>
            <w:r>
              <w:rPr>
                <w:b/>
                <w:color w:val="FFFFFF"/>
                <w:sz w:val="16"/>
              </w:rPr>
              <w:t>2027</w:t>
            </w:r>
          </w:p>
        </w:tc>
        <w:tc>
          <w:tcPr>
            <w:tcW w:type="dxa" w:w="1512"/>
            <w:shd w:fill="1B7F79"/>
            <w:tcMar>
              <w:top w:w="110" w:type="dxa"/>
              <w:start w:w="110" w:type="dxa"/>
              <w:bottom w:w="110" w:type="dxa"/>
              <w:end w:w="110" w:type="dxa"/>
            </w:tcMar>
            <w:vAlign w:val="center"/>
          </w:tcPr>
          <w:p>
            <w:r>
              <w:rPr>
                <w:b/>
                <w:color w:val="FFFFFF"/>
                <w:sz w:val="16"/>
              </w:rPr>
              <w:t>2028</w:t>
            </w:r>
          </w:p>
        </w:tc>
        <w:tc>
          <w:tcPr>
            <w:tcW w:type="dxa" w:w="1512"/>
            <w:shd w:fill="1B7F79"/>
            <w:tcMar>
              <w:top w:w="110" w:type="dxa"/>
              <w:start w:w="110" w:type="dxa"/>
              <w:bottom w:w="110" w:type="dxa"/>
              <w:end w:w="110" w:type="dxa"/>
            </w:tcMar>
            <w:vAlign w:val="center"/>
          </w:tcPr>
          <w:p>
            <w:r>
              <w:rPr>
                <w:b/>
                <w:color w:val="FFFFFF"/>
                <w:sz w:val="16"/>
              </w:rPr>
              <w:t>2029</w:t>
            </w:r>
          </w:p>
        </w:tc>
      </w:tr>
      <w:tr>
        <w:tc>
          <w:tcPr>
            <w:tcW w:type="dxa" w:w="3096"/>
            <w:tcMar>
              <w:top w:w="110" w:type="dxa"/>
              <w:start w:w="110" w:type="dxa"/>
              <w:bottom w:w="110" w:type="dxa"/>
              <w:end w:w="110" w:type="dxa"/>
            </w:tcMar>
            <w:vAlign w:val="center"/>
          </w:tcPr>
          <w:p>
            <w:pPr>
              <w:spacing w:after="0"/>
            </w:pPr>
            <w:r>
              <w:rPr>
                <w:rFonts w:ascii="Aptos" w:hAnsi="Aptos"/>
                <w:color w:val="232D37"/>
                <w:sz w:val="16"/>
              </w:rPr>
              <w:t>Note proceeds</w:t>
            </w:r>
          </w:p>
        </w:tc>
        <w:tc>
          <w:tcPr>
            <w:tcW w:type="dxa" w:w="1512"/>
            <w:tcMar>
              <w:top w:w="110" w:type="dxa"/>
              <w:start w:w="110" w:type="dxa"/>
              <w:bottom w:w="110" w:type="dxa"/>
              <w:end w:w="110" w:type="dxa"/>
            </w:tcMar>
            <w:vAlign w:val="center"/>
          </w:tcPr>
          <w:p>
            <w:pPr>
              <w:spacing w:after="0"/>
            </w:pPr>
            <w:r>
              <w:rPr>
                <w:rFonts w:ascii="Aptos" w:hAnsi="Aptos"/>
                <w:color w:val="232D37"/>
                <w:sz w:val="16"/>
              </w:rPr>
              <w:t>$150,000</w:t>
            </w:r>
          </w:p>
        </w:tc>
        <w:tc>
          <w:tcPr>
            <w:tcW w:type="dxa" w:w="1512"/>
            <w:tcMar>
              <w:top w:w="110" w:type="dxa"/>
              <w:start w:w="110" w:type="dxa"/>
              <w:bottom w:w="110" w:type="dxa"/>
              <w:end w:w="110" w:type="dxa"/>
            </w:tcMar>
            <w:vAlign w:val="center"/>
          </w:tcPr>
          <w:p>
            <w:pPr>
              <w:spacing w:after="0"/>
            </w:pPr>
            <w:r>
              <w:rPr>
                <w:rFonts w:ascii="Aptos" w:hAnsi="Aptos"/>
                <w:color w:val="232D37"/>
                <w:sz w:val="16"/>
              </w:rPr>
              <w:t>$2,850,000</w:t>
            </w:r>
          </w:p>
        </w:tc>
        <w:tc>
          <w:tcPr>
            <w:tcW w:type="dxa" w:w="1512"/>
            <w:tcMar>
              <w:top w:w="110" w:type="dxa"/>
              <w:start w:w="110" w:type="dxa"/>
              <w:bottom w:w="110" w:type="dxa"/>
              <w:end w:w="110" w:type="dxa"/>
            </w:tcMar>
            <w:vAlign w:val="center"/>
          </w:tcPr>
          <w:p>
            <w:pPr>
              <w:spacing w:after="0"/>
            </w:pPr>
            <w:r>
              <w:rPr>
                <w:rFonts w:ascii="Aptos" w:hAnsi="Aptos"/>
                <w:color w:val="232D37"/>
                <w:sz w:val="16"/>
              </w:rPr>
              <w:t>—</w:t>
            </w:r>
          </w:p>
        </w:tc>
        <w:tc>
          <w:tcPr>
            <w:tcW w:type="dxa" w:w="1512"/>
            <w:tcMar>
              <w:top w:w="110" w:type="dxa"/>
              <w:start w:w="110" w:type="dxa"/>
              <w:bottom w:w="110" w:type="dxa"/>
              <w:end w:w="110" w:type="dxa"/>
            </w:tcMar>
            <w:vAlign w:val="center"/>
          </w:tcPr>
          <w:p>
            <w:pPr>
              <w:spacing w:after="0"/>
            </w:pPr>
            <w:r>
              <w:rPr>
                <w:rFonts w:ascii="Aptos" w:hAnsi="Aptos"/>
                <w:color w:val="232D37"/>
                <w:sz w:val="16"/>
              </w:rPr>
              <w:t>—</w:t>
            </w:r>
          </w:p>
        </w:tc>
      </w:tr>
      <w:tr>
        <w:tc>
          <w:tcPr>
            <w:tcW w:type="dxa" w:w="3096"/>
            <w:tcMar>
              <w:top w:w="110" w:type="dxa"/>
              <w:start w:w="110" w:type="dxa"/>
              <w:bottom w:w="110" w:type="dxa"/>
              <w:end w:w="110" w:type="dxa"/>
            </w:tcMar>
            <w:vAlign w:val="center"/>
            <w:shd w:fill="F4F7FA"/>
          </w:tcPr>
          <w:p>
            <w:pPr>
              <w:spacing w:after="0"/>
            </w:pPr>
            <w:r>
              <w:rPr>
                <w:rFonts w:ascii="Aptos" w:hAnsi="Aptos"/>
                <w:color w:val="232D37"/>
                <w:sz w:val="16"/>
              </w:rPr>
              <w:t>Gross revenue</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$2,033,000</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$3,686,760</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$5,069,295</w:t>
            </w:r>
          </w:p>
        </w:tc>
      </w:tr>
      <w:tr>
        <w:tc>
          <w:tcPr>
            <w:tcW w:type="dxa" w:w="3096"/>
            <w:tcMar>
              <w:top w:w="110" w:type="dxa"/>
              <w:start w:w="110" w:type="dxa"/>
              <w:bottom w:w="110" w:type="dxa"/>
              <w:end w:w="110" w:type="dxa"/>
            </w:tcMar>
            <w:vAlign w:val="center"/>
          </w:tcPr>
          <w:p>
            <w:pPr>
              <w:spacing w:after="0"/>
            </w:pPr>
            <w:r>
              <w:rPr>
                <w:rFonts w:ascii="Aptos" w:hAnsi="Aptos"/>
                <w:color w:val="232D37"/>
                <w:sz w:val="16"/>
              </w:rPr>
              <w:t>Operating income</w:t>
            </w:r>
          </w:p>
        </w:tc>
        <w:tc>
          <w:tcPr>
            <w:tcW w:type="dxa" w:w="1512"/>
            <w:tcMar>
              <w:top w:w="110" w:type="dxa"/>
              <w:start w:w="110" w:type="dxa"/>
              <w:bottom w:w="110" w:type="dxa"/>
              <w:end w:w="110" w:type="dxa"/>
            </w:tcMar>
            <w:vAlign w:val="center"/>
          </w:tcPr>
          <w:p>
            <w:pPr>
              <w:spacing w:after="0"/>
            </w:pPr>
            <w:r>
              <w:rPr>
                <w:rFonts w:ascii="Aptos" w:hAnsi="Aptos"/>
                <w:color w:val="232D37"/>
                <w:sz w:val="16"/>
              </w:rPr>
              <w:t>$(42,500)</w:t>
            </w:r>
          </w:p>
        </w:tc>
        <w:tc>
          <w:tcPr>
            <w:tcW w:type="dxa" w:w="1512"/>
            <w:tcMar>
              <w:top w:w="110" w:type="dxa"/>
              <w:start w:w="110" w:type="dxa"/>
              <w:bottom w:w="110" w:type="dxa"/>
              <w:end w:w="110" w:type="dxa"/>
            </w:tcMar>
            <w:vAlign w:val="center"/>
          </w:tcPr>
          <w:p>
            <w:pPr>
              <w:spacing w:after="0"/>
            </w:pPr>
            <w:r>
              <w:rPr>
                <w:rFonts w:ascii="Aptos" w:hAnsi="Aptos"/>
                <w:color w:val="232D37"/>
                <w:sz w:val="16"/>
              </w:rPr>
              <w:t>$394,940</w:t>
            </w:r>
          </w:p>
        </w:tc>
        <w:tc>
          <w:tcPr>
            <w:tcW w:type="dxa" w:w="1512"/>
            <w:tcMar>
              <w:top w:w="110" w:type="dxa"/>
              <w:start w:w="110" w:type="dxa"/>
              <w:bottom w:w="110" w:type="dxa"/>
              <w:end w:w="110" w:type="dxa"/>
            </w:tcMar>
            <w:vAlign w:val="center"/>
          </w:tcPr>
          <w:p>
            <w:pPr>
              <w:spacing w:after="0"/>
            </w:pPr>
            <w:r>
              <w:rPr>
                <w:rFonts w:ascii="Aptos" w:hAnsi="Aptos"/>
                <w:color w:val="232D37"/>
                <w:sz w:val="16"/>
              </w:rPr>
              <w:t>$1,547,577</w:t>
            </w:r>
          </w:p>
        </w:tc>
        <w:tc>
          <w:tcPr>
            <w:tcW w:type="dxa" w:w="1512"/>
            <w:tcMar>
              <w:top w:w="110" w:type="dxa"/>
              <w:start w:w="110" w:type="dxa"/>
              <w:bottom w:w="110" w:type="dxa"/>
              <w:end w:w="110" w:type="dxa"/>
            </w:tcMar>
            <w:vAlign w:val="center"/>
          </w:tcPr>
          <w:p>
            <w:pPr>
              <w:spacing w:after="0"/>
            </w:pPr>
            <w:r>
              <w:rPr>
                <w:rFonts w:ascii="Aptos" w:hAnsi="Aptos"/>
                <w:color w:val="232D37"/>
                <w:sz w:val="16"/>
              </w:rPr>
              <w:t>$2,484,868</w:t>
            </w:r>
          </w:p>
        </w:tc>
      </w:tr>
      <w:tr>
        <w:tc>
          <w:tcPr>
            <w:tcW w:type="dxa" w:w="3096"/>
            <w:tcMar>
              <w:top w:w="110" w:type="dxa"/>
              <w:start w:w="110" w:type="dxa"/>
              <w:bottom w:w="110" w:type="dxa"/>
              <w:end w:w="110" w:type="dxa"/>
            </w:tcMar>
            <w:vAlign w:val="center"/>
            <w:shd w:fill="F4F7FA"/>
          </w:tcPr>
          <w:p>
            <w:pPr>
              <w:spacing w:after="0"/>
            </w:pPr>
            <w:r>
              <w:rPr>
                <w:rFonts w:ascii="Aptos" w:hAnsi="Aptos"/>
                <w:color w:val="232D37"/>
                <w:sz w:val="16"/>
              </w:rPr>
              <w:t>Total interest expense</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$(1,147)</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$(167,042)</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$(270,740)</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$(270,000)</w:t>
            </w:r>
          </w:p>
        </w:tc>
      </w:tr>
      <w:tr>
        <w:tc>
          <w:tcPr>
            <w:tcW w:type="dxa" w:w="3096"/>
            <w:tcMar>
              <w:top w:w="110" w:type="dxa"/>
              <w:start w:w="110" w:type="dxa"/>
              <w:bottom w:w="110" w:type="dxa"/>
              <w:end w:w="110" w:type="dxa"/>
            </w:tcMar>
            <w:vAlign w:val="center"/>
          </w:tcPr>
          <w:p>
            <w:pPr>
              <w:spacing w:after="0"/>
            </w:pPr>
            <w:r>
              <w:rPr>
                <w:rFonts w:ascii="Aptos" w:hAnsi="Aptos"/>
                <w:color w:val="232D37"/>
                <w:sz w:val="16"/>
              </w:rPr>
              <w:t>Net income</w:t>
            </w:r>
          </w:p>
        </w:tc>
        <w:tc>
          <w:tcPr>
            <w:tcW w:type="dxa" w:w="1512"/>
            <w:tcMar>
              <w:top w:w="110" w:type="dxa"/>
              <w:start w:w="110" w:type="dxa"/>
              <w:bottom w:w="110" w:type="dxa"/>
              <w:end w:w="110" w:type="dxa"/>
            </w:tcMar>
            <w:vAlign w:val="center"/>
          </w:tcPr>
          <w:p>
            <w:pPr>
              <w:spacing w:after="0"/>
            </w:pPr>
            <w:r>
              <w:rPr>
                <w:rFonts w:ascii="Aptos" w:hAnsi="Aptos"/>
                <w:color w:val="232D37"/>
                <w:sz w:val="16"/>
              </w:rPr>
              <w:t>$(43,647)</w:t>
            </w:r>
          </w:p>
        </w:tc>
        <w:tc>
          <w:tcPr>
            <w:tcW w:type="dxa" w:w="1512"/>
            <w:tcMar>
              <w:top w:w="110" w:type="dxa"/>
              <w:start w:w="110" w:type="dxa"/>
              <w:bottom w:w="110" w:type="dxa"/>
              <w:end w:w="110" w:type="dxa"/>
            </w:tcMar>
            <w:vAlign w:val="center"/>
          </w:tcPr>
          <w:p>
            <w:pPr>
              <w:spacing w:after="0"/>
            </w:pPr>
            <w:r>
              <w:rPr>
                <w:rFonts w:ascii="Aptos" w:hAnsi="Aptos"/>
                <w:color w:val="232D37"/>
                <w:sz w:val="16"/>
              </w:rPr>
              <w:t>$156,018</w:t>
            </w:r>
          </w:p>
        </w:tc>
        <w:tc>
          <w:tcPr>
            <w:tcW w:type="dxa" w:w="1512"/>
            <w:tcMar>
              <w:top w:w="110" w:type="dxa"/>
              <w:start w:w="110" w:type="dxa"/>
              <w:bottom w:w="110" w:type="dxa"/>
              <w:end w:w="110" w:type="dxa"/>
            </w:tcMar>
            <w:vAlign w:val="center"/>
          </w:tcPr>
          <w:p>
            <w:pPr>
              <w:spacing w:after="0"/>
            </w:pPr>
            <w:r>
              <w:rPr>
                <w:rFonts w:ascii="Aptos" w:hAnsi="Aptos"/>
                <w:color w:val="232D37"/>
                <w:sz w:val="16"/>
              </w:rPr>
              <w:t>$944,859</w:t>
            </w:r>
          </w:p>
        </w:tc>
        <w:tc>
          <w:tcPr>
            <w:tcW w:type="dxa" w:w="1512"/>
            <w:tcMar>
              <w:top w:w="110" w:type="dxa"/>
              <w:start w:w="110" w:type="dxa"/>
              <w:bottom w:w="110" w:type="dxa"/>
              <w:end w:w="110" w:type="dxa"/>
            </w:tcMar>
            <w:vAlign w:val="center"/>
          </w:tcPr>
          <w:p>
            <w:pPr>
              <w:spacing w:after="0"/>
            </w:pPr>
            <w:r>
              <w:rPr>
                <w:rFonts w:ascii="Aptos" w:hAnsi="Aptos"/>
                <w:color w:val="232D37"/>
                <w:sz w:val="16"/>
              </w:rPr>
              <w:t>$1,639,002</w:t>
            </w:r>
          </w:p>
        </w:tc>
      </w:tr>
      <w:tr>
        <w:tc>
          <w:tcPr>
            <w:tcW w:type="dxa" w:w="3096"/>
            <w:tcMar>
              <w:top w:w="110" w:type="dxa"/>
              <w:start w:w="110" w:type="dxa"/>
              <w:bottom w:w="110" w:type="dxa"/>
              <w:end w:w="110" w:type="dxa"/>
            </w:tcMar>
            <w:vAlign w:val="center"/>
            <w:shd w:fill="F4F7FA"/>
          </w:tcPr>
          <w:p>
            <w:pPr>
              <w:spacing w:after="0"/>
            </w:pPr>
            <w:r>
              <w:rPr>
                <w:rFonts w:ascii="Aptos" w:hAnsi="Aptos"/>
                <w:color w:val="232D37"/>
                <w:sz w:val="16"/>
              </w:rPr>
              <w:t>Ending cash</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$106,990</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$3,205,810</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$4,301,081</w:t>
            </w:r>
          </w:p>
        </w:tc>
        <w:tc>
          <w:tcPr>
            <w:tcW w:type="dxa" w:w="1512"/>
            <w:tcMar>
              <w:top w:w="110" w:type="dxa"/>
              <w:start w:w="110" w:type="dxa"/>
              <w:bottom w:w="110" w:type="dxa"/>
              <w:end w:w="110" w:type="dxa"/>
            </w:tcMar>
            <w:vAlign w:val="center"/>
            <w:shd w:fill="F4F7FA"/>
          </w:tcPr>
          <w:p>
            <w:pPr>
              <w:spacing w:after="0"/>
            </w:pPr>
            <w:r>
              <w:rPr>
                <w:rFonts w:ascii="Aptos" w:hAnsi="Aptos"/>
                <w:color w:val="232D37"/>
                <w:sz w:val="16"/>
              </w:rPr>
              <w:t>$6,090,083</w:t>
            </w:r>
          </w:p>
        </w:tc>
      </w:tr>
      <w:tr>
        <w:tc>
          <w:tcPr>
            <w:tcW w:type="dxa" w:w="3096"/>
            <w:tcMar>
              <w:top w:w="110" w:type="dxa"/>
              <w:start w:w="110" w:type="dxa"/>
              <w:bottom w:w="110" w:type="dxa"/>
              <w:end w:w="110" w:type="dxa"/>
            </w:tcMar>
            <w:vAlign w:val="center"/>
          </w:tcPr>
          <w:p>
            <w:pPr>
              <w:spacing w:after="0"/>
            </w:pPr>
            <w:r>
              <w:rPr>
                <w:rFonts w:ascii="Aptos" w:hAnsi="Aptos"/>
                <w:color w:val="232D37"/>
                <w:sz w:val="16"/>
              </w:rPr>
              <w:t>Note carrying amount</w:t>
            </w:r>
          </w:p>
        </w:tc>
        <w:tc>
          <w:tcPr>
            <w:tcW w:type="dxa" w:w="1512"/>
            <w:tcMar>
              <w:top w:w="110" w:type="dxa"/>
              <w:start w:w="110" w:type="dxa"/>
              <w:bottom w:w="110" w:type="dxa"/>
              <w:end w:w="110" w:type="dxa"/>
            </w:tcMar>
            <w:vAlign w:val="center"/>
          </w:tcPr>
          <w:p>
            <w:pPr>
              <w:spacing w:after="0"/>
            </w:pPr>
            <w:r>
              <w:rPr>
                <w:rFonts w:ascii="Aptos" w:hAnsi="Aptos"/>
                <w:color w:val="232D37"/>
                <w:sz w:val="16"/>
              </w:rPr>
              <w:t>$150,637</w:t>
            </w:r>
          </w:p>
        </w:tc>
        <w:tc>
          <w:tcPr>
            <w:tcW w:type="dxa" w:w="1512"/>
            <w:tcMar>
              <w:top w:w="110" w:type="dxa"/>
              <w:start w:w="110" w:type="dxa"/>
              <w:bottom w:w="110" w:type="dxa"/>
              <w:end w:w="110" w:type="dxa"/>
            </w:tcMar>
            <w:vAlign w:val="center"/>
          </w:tcPr>
          <w:p>
            <w:pPr>
              <w:spacing w:after="0"/>
            </w:pPr>
            <w:r>
              <w:rPr>
                <w:rFonts w:ascii="Aptos" w:hAnsi="Aptos"/>
                <w:color w:val="232D37"/>
                <w:sz w:val="16"/>
              </w:rPr>
              <w:t>$3,093,438</w:t>
            </w:r>
          </w:p>
        </w:tc>
        <w:tc>
          <w:tcPr>
            <w:tcW w:type="dxa" w:w="1512"/>
            <w:tcMar>
              <w:top w:w="110" w:type="dxa"/>
              <w:start w:w="110" w:type="dxa"/>
              <w:bottom w:w="110" w:type="dxa"/>
              <w:end w:w="110" w:type="dxa"/>
            </w:tcMar>
            <w:vAlign w:val="center"/>
          </w:tcPr>
          <w:p>
            <w:pPr>
              <w:spacing w:after="0"/>
            </w:pPr>
            <w:r>
              <w:rPr>
                <w:rFonts w:ascii="Aptos" w:hAnsi="Aptos"/>
                <w:color w:val="232D37"/>
                <w:sz w:val="16"/>
              </w:rPr>
              <w:t>$3,243,849</w:t>
            </w:r>
          </w:p>
        </w:tc>
        <w:tc>
          <w:tcPr>
            <w:tcW w:type="dxa" w:w="1512"/>
            <w:tcMar>
              <w:top w:w="110" w:type="dxa"/>
              <w:start w:w="110" w:type="dxa"/>
              <w:bottom w:w="110" w:type="dxa"/>
              <w:end w:w="110" w:type="dxa"/>
            </w:tcMar>
            <w:vAlign w:val="center"/>
          </w:tcPr>
          <w:p>
            <w:pPr>
              <w:spacing w:after="0"/>
            </w:pPr>
            <w:r>
              <w:rPr>
                <w:rFonts w:ascii="Aptos" w:hAnsi="Aptos"/>
                <w:color w:val="232D37"/>
                <w:sz w:val="16"/>
              </w:rPr>
              <w:t>$3,393,849</w:t>
            </w:r>
          </w:p>
        </w:tc>
      </w:tr>
    </w:tbl>
    <w:p>
      <w:pPr>
        <w:spacing w:after="20"/>
      </w:pPr>
    </w:p>
    <w:p>
      <w:r>
        <w:t>The 2027 positive result depends on converting 18 clients by June and staging part of the multi-year growth allocation beyond 2027. The result is compliant only to the extent these assumptions have a reasonable evidentiary basis and the offering package fully discloses execution risk.</w:t>
      </w:r>
    </w:p>
    <w:p>
      <w:pPr>
        <w:pStyle w:val="Heading1"/>
      </w:pPr>
      <w:r>
        <w:t>2. Proposed Financing Architecture</w:t>
      </w:r>
    </w:p>
    <w:p>
      <w:pPr>
        <w:pStyle w:val="Heading2"/>
      </w:pPr>
      <w:r>
        <w:t>2.1 Phased funding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B7F79"/>
            <w:tcMar>
              <w:top w:w="110" w:type="dxa"/>
              <w:start w:w="110" w:type="dxa"/>
              <w:bottom w:w="110" w:type="dxa"/>
              <w:end w:w="110" w:type="dxa"/>
            </w:tcMar>
            <w:vAlign w:val="center"/>
          </w:tcPr>
          <w:p>
            <w:r>
              <w:rPr>
                <w:b/>
                <w:color w:val="FFFFFF"/>
                <w:sz w:val="16"/>
              </w:rPr>
              <w:t>Phase</w:t>
            </w:r>
          </w:p>
        </w:tc>
        <w:tc>
          <w:tcPr>
            <w:tcW w:type="dxa" w:w="1800"/>
            <w:shd w:fill="1B7F79"/>
            <w:tcMar>
              <w:top w:w="110" w:type="dxa"/>
              <w:start w:w="110" w:type="dxa"/>
              <w:bottom w:w="110" w:type="dxa"/>
              <w:end w:w="110" w:type="dxa"/>
            </w:tcMar>
            <w:vAlign w:val="center"/>
          </w:tcPr>
          <w:p>
            <w:r>
              <w:rPr>
                <w:b/>
                <w:color w:val="FFFFFF"/>
                <w:sz w:val="16"/>
              </w:rPr>
              <w:t>Maximum</w:t>
            </w:r>
          </w:p>
        </w:tc>
        <w:tc>
          <w:tcPr>
            <w:tcW w:type="dxa" w:w="4608"/>
            <w:shd w:fill="1B7F79"/>
            <w:tcMar>
              <w:top w:w="110" w:type="dxa"/>
              <w:start w:w="110" w:type="dxa"/>
              <w:bottom w:w="110" w:type="dxa"/>
              <w:end w:w="110" w:type="dxa"/>
            </w:tcMar>
            <w:vAlign w:val="center"/>
          </w:tcPr>
          <w:p>
            <w:r>
              <w:rPr>
                <w:b/>
                <w:color w:val="FFFFFF"/>
                <w:sz w:val="16"/>
              </w:rPr>
              <w:t>Release condition</w:t>
            </w:r>
          </w:p>
        </w:tc>
        <w:tc>
          <w:tcPr>
            <w:tcW w:type="dxa" w:w="2376"/>
            <w:shd w:fill="1B7F79"/>
            <w:tcMar>
              <w:top w:w="110" w:type="dxa"/>
              <w:start w:w="110" w:type="dxa"/>
              <w:bottom w:w="110" w:type="dxa"/>
              <w:end w:w="110" w:type="dxa"/>
            </w:tcMar>
            <w:vAlign w:val="center"/>
          </w:tcPr>
          <w:p>
            <w:r>
              <w:rPr>
                <w:b/>
                <w:color w:val="FFFFFF"/>
                <w:sz w:val="16"/>
              </w:rPr>
              <w:t>Modeled schedule</w:t>
            </w:r>
          </w:p>
        </w:tc>
      </w:tr>
      <w:tr>
        <w:tc>
          <w:tcPr>
            <w:tcW w:type="dxa" w:w="1440"/>
            <w:tcMar>
              <w:top w:w="110" w:type="dxa"/>
              <w:start w:w="110" w:type="dxa"/>
              <w:bottom w:w="110" w:type="dxa"/>
              <w:end w:w="110" w:type="dxa"/>
            </w:tcMar>
            <w:vAlign w:val="center"/>
          </w:tcPr>
          <w:p>
            <w:pPr>
              <w:spacing w:after="0"/>
            </w:pPr>
            <w:r>
              <w:rPr>
                <w:rFonts w:ascii="Aptos" w:hAnsi="Aptos"/>
                <w:color w:val="232D37"/>
                <w:sz w:val="16"/>
              </w:rPr>
              <w:t>Phase 1</w:t>
            </w:r>
          </w:p>
        </w:tc>
        <w:tc>
          <w:tcPr>
            <w:tcW w:type="dxa" w:w="1800"/>
            <w:tcMar>
              <w:top w:w="110" w:type="dxa"/>
              <w:start w:w="110" w:type="dxa"/>
              <w:bottom w:w="110" w:type="dxa"/>
              <w:end w:w="110" w:type="dxa"/>
            </w:tcMar>
            <w:vAlign w:val="center"/>
          </w:tcPr>
          <w:p>
            <w:pPr>
              <w:spacing w:after="0"/>
            </w:pPr>
            <w:r>
              <w:rPr>
                <w:rFonts w:ascii="Aptos" w:hAnsi="Aptos"/>
                <w:color w:val="232D37"/>
                <w:sz w:val="16"/>
              </w:rPr>
              <w:t>$1,250,000</w:t>
            </w:r>
          </w:p>
        </w:tc>
        <w:tc>
          <w:tcPr>
            <w:tcW w:type="dxa" w:w="4608"/>
            <w:tcMar>
              <w:top w:w="110" w:type="dxa"/>
              <w:start w:w="110" w:type="dxa"/>
              <w:bottom w:w="110" w:type="dxa"/>
              <w:end w:w="110" w:type="dxa"/>
            </w:tcMar>
            <w:vAlign w:val="center"/>
          </w:tcPr>
          <w:p>
            <w:pPr>
              <w:spacing w:after="0"/>
            </w:pPr>
            <w:r>
              <w:rPr>
                <w:rFonts w:ascii="Aptos" w:hAnsi="Aptos"/>
                <w:color w:val="232D37"/>
                <w:sz w:val="16"/>
              </w:rPr>
              <w:t>Initial runway and evidence-supported client build</w:t>
            </w:r>
          </w:p>
        </w:tc>
        <w:tc>
          <w:tcPr>
            <w:tcW w:type="dxa" w:w="2376"/>
            <w:tcMar>
              <w:top w:w="110" w:type="dxa"/>
              <w:start w:w="110" w:type="dxa"/>
              <w:bottom w:w="110" w:type="dxa"/>
              <w:end w:w="110" w:type="dxa"/>
            </w:tcMar>
            <w:vAlign w:val="center"/>
          </w:tcPr>
          <w:p>
            <w:pPr>
              <w:spacing w:after="0"/>
            </w:pPr>
            <w:r>
              <w:rPr>
                <w:rFonts w:ascii="Aptos" w:hAnsi="Aptos"/>
                <w:color w:val="232D37"/>
                <w:sz w:val="16"/>
              </w:rPr>
              <w:t>December 2026–April 2027</w:t>
            </w:r>
          </w:p>
        </w:tc>
      </w:tr>
      <w:tr>
        <w:tc>
          <w:tcPr>
            <w:tcW w:type="dxa" w:w="1440"/>
            <w:tcMar>
              <w:top w:w="110" w:type="dxa"/>
              <w:start w:w="110" w:type="dxa"/>
              <w:bottom w:w="110" w:type="dxa"/>
              <w:end w:w="110" w:type="dxa"/>
            </w:tcMar>
            <w:vAlign w:val="center"/>
            <w:shd w:fill="F4F7FA"/>
          </w:tcPr>
          <w:p>
            <w:pPr>
              <w:spacing w:after="0"/>
            </w:pPr>
            <w:r>
              <w:rPr>
                <w:rFonts w:ascii="Aptos" w:hAnsi="Aptos"/>
                <w:color w:val="232D37"/>
                <w:sz w:val="16"/>
              </w:rPr>
              <w:t>Phase 2</w:t>
            </w:r>
          </w:p>
        </w:tc>
        <w:tc>
          <w:tcPr>
            <w:tcW w:type="dxa" w:w="1800"/>
            <w:tcMar>
              <w:top w:w="110" w:type="dxa"/>
              <w:start w:w="110" w:type="dxa"/>
              <w:bottom w:w="110" w:type="dxa"/>
              <w:end w:w="110" w:type="dxa"/>
            </w:tcMar>
            <w:vAlign w:val="center"/>
            <w:shd w:fill="F4F7FA"/>
          </w:tcPr>
          <w:p>
            <w:pPr>
              <w:spacing w:after="0"/>
            </w:pPr>
            <w:r>
              <w:rPr>
                <w:rFonts w:ascii="Aptos" w:hAnsi="Aptos"/>
                <w:color w:val="232D37"/>
                <w:sz w:val="16"/>
              </w:rPr>
              <w:t>$1,750,000</w:t>
            </w:r>
          </w:p>
        </w:tc>
        <w:tc>
          <w:tcPr>
            <w:tcW w:type="dxa" w:w="4608"/>
            <w:tcMar>
              <w:top w:w="110" w:type="dxa"/>
              <w:start w:w="110" w:type="dxa"/>
              <w:bottom w:w="110" w:type="dxa"/>
              <w:end w:w="110" w:type="dxa"/>
            </w:tcMar>
            <w:vAlign w:val="center"/>
            <w:shd w:fill="F4F7FA"/>
          </w:tcPr>
          <w:p>
            <w:pPr>
              <w:spacing w:after="0"/>
            </w:pPr>
            <w:r>
              <w:rPr>
                <w:rFonts w:ascii="Aptos" w:hAnsi="Aptos"/>
                <w:color w:val="232D37"/>
                <w:sz w:val="16"/>
              </w:rPr>
              <w:t>Prior-month annualized gross revenue of at least $1.0M</w:t>
            </w:r>
          </w:p>
        </w:tc>
        <w:tc>
          <w:tcPr>
            <w:tcW w:type="dxa" w:w="2376"/>
            <w:tcMar>
              <w:top w:w="110" w:type="dxa"/>
              <w:start w:w="110" w:type="dxa"/>
              <w:bottom w:w="110" w:type="dxa"/>
              <w:end w:w="110" w:type="dxa"/>
            </w:tcMar>
            <w:vAlign w:val="center"/>
            <w:shd w:fill="F4F7FA"/>
          </w:tcPr>
          <w:p>
            <w:pPr>
              <w:spacing w:after="0"/>
            </w:pPr>
            <w:r>
              <w:rPr>
                <w:rFonts w:ascii="Aptos" w:hAnsi="Aptos"/>
                <w:color w:val="232D37"/>
                <w:sz w:val="16"/>
              </w:rPr>
              <w:t>May–November 2027 if achieved</w:t>
            </w:r>
          </w:p>
        </w:tc>
      </w:tr>
      <w:tr>
        <w:tc>
          <w:tcPr>
            <w:tcW w:type="dxa" w:w="1440"/>
            <w:tcMar>
              <w:top w:w="110" w:type="dxa"/>
              <w:start w:w="110" w:type="dxa"/>
              <w:bottom w:w="110" w:type="dxa"/>
              <w:end w:w="110" w:type="dxa"/>
            </w:tcMar>
            <w:vAlign w:val="center"/>
          </w:tcPr>
          <w:p>
            <w:pPr>
              <w:spacing w:after="0"/>
            </w:pPr>
            <w:r>
              <w:rPr>
                <w:rFonts w:ascii="Aptos" w:hAnsi="Aptos"/>
                <w:color w:val="232D37"/>
                <w:sz w:val="16"/>
              </w:rPr>
              <w:t>Maximum</w:t>
            </w:r>
          </w:p>
        </w:tc>
        <w:tc>
          <w:tcPr>
            <w:tcW w:type="dxa" w:w="1800"/>
            <w:tcMar>
              <w:top w:w="110" w:type="dxa"/>
              <w:start w:w="110" w:type="dxa"/>
              <w:bottom w:w="110" w:type="dxa"/>
              <w:end w:w="110" w:type="dxa"/>
            </w:tcMar>
            <w:vAlign w:val="center"/>
          </w:tcPr>
          <w:p>
            <w:pPr>
              <w:spacing w:after="0"/>
            </w:pPr>
            <w:r>
              <w:rPr>
                <w:rFonts w:ascii="Aptos" w:hAnsi="Aptos"/>
                <w:color w:val="232D37"/>
                <w:sz w:val="16"/>
              </w:rPr>
              <w:t>$3,000,000</w:t>
            </w:r>
          </w:p>
        </w:tc>
        <w:tc>
          <w:tcPr>
            <w:tcW w:type="dxa" w:w="4608"/>
            <w:tcMar>
              <w:top w:w="110" w:type="dxa"/>
              <w:start w:w="110" w:type="dxa"/>
              <w:bottom w:w="110" w:type="dxa"/>
              <w:end w:w="110" w:type="dxa"/>
            </w:tcMar>
            <w:vAlign w:val="center"/>
          </w:tcPr>
          <w:p>
            <w:pPr>
              <w:spacing w:after="0"/>
            </w:pPr>
            <w:r>
              <w:rPr>
                <w:rFonts w:ascii="Aptos" w:hAnsi="Aptos"/>
                <w:color w:val="232D37"/>
                <w:sz w:val="16"/>
              </w:rPr>
              <w:t>Both phases close</w:t>
            </w:r>
          </w:p>
        </w:tc>
        <w:tc>
          <w:tcPr>
            <w:tcW w:type="dxa" w:w="2376"/>
            <w:tcMar>
              <w:top w:w="110" w:type="dxa"/>
              <w:start w:w="110" w:type="dxa"/>
              <w:bottom w:w="110" w:type="dxa"/>
              <w:end w:w="110" w:type="dxa"/>
            </w:tcMar>
            <w:vAlign w:val="center"/>
          </w:tcPr>
          <w:p>
            <w:pPr>
              <w:spacing w:after="0"/>
            </w:pPr>
            <w:r>
              <w:rPr>
                <w:rFonts w:ascii="Aptos" w:hAnsi="Aptos"/>
                <w:color w:val="232D37"/>
                <w:sz w:val="16"/>
              </w:rPr>
              <w:t>Subject to actual subscriptions and receipts</w:t>
            </w:r>
          </w:p>
        </w:tc>
      </w:tr>
    </w:tbl>
    <w:p>
      <w:pPr>
        <w:spacing w:after="20"/>
      </w:pPr>
    </w:p>
    <w:p>
      <w:r>
        <w:t>The Base Case reaches a $1.2 million annualized gross-revenue run-rate in April 2027, so the spreadsheet releases the first Phase 2 tranche in May. This is a model gate, not a legal funding commitment; definitive documents must specify whether the second phase is optional, committed, warrant-backed, or separately offered.</w:t>
      </w:r>
    </w:p>
    <w:p>
      <w:pPr>
        <w:pStyle w:val="Heading2"/>
      </w:pPr>
      <w:r>
        <w:t>2.2 Cash and PIK interest</w:t>
      </w:r>
    </w:p>
    <w:p>
      <w:pPr>
        <w:pStyle w:val="ListBullet"/>
      </w:pPr>
      <w:r>
        <w:t>Cash coupon: 4% per annum, accrued from each actual funding date using an ACT/365 planning convention and paid quarterly.</w:t>
      </w:r>
    </w:p>
    <w:p>
      <w:pPr>
        <w:pStyle w:val="ListBullet"/>
      </w:pPr>
      <w:r>
        <w:t>PIK coupon: 5% per annum, accrued on funded face principal and added to the note carrying amount; the planning model does not compound PIK-on-PIK.</w:t>
      </w:r>
    </w:p>
    <w:p>
      <w:pPr>
        <w:pStyle w:val="ListBullet"/>
      </w:pPr>
      <w:r>
        <w:t>Total modeled coupon expense remains 9% before issuance-cost, discount, derivative, or effective-interest adjustments.</w:t>
      </w:r>
    </w:p>
    <w:p>
      <w:pPr>
        <w:pStyle w:val="ListBullet"/>
      </w:pPr>
      <w:r>
        <w:t>The 2029 ending carrying amount is approximately $3.394 million, including approximately $394,000 of cumulative PIK.</w:t>
      </w:r>
    </w:p>
    <w:p>
      <w:pPr>
        <w:pStyle w:val="Heading2"/>
      </w:pPr>
      <w:r>
        <w:t>2.3 Illustrative conversion terms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B7F79"/>
            <w:tcMar>
              <w:top w:w="110" w:type="dxa"/>
              <w:start w:w="110" w:type="dxa"/>
              <w:bottom w:w="110" w:type="dxa"/>
              <w:end w:w="110" w:type="dxa"/>
            </w:tcMar>
            <w:vAlign w:val="center"/>
          </w:tcPr>
          <w:p>
            <w:r>
              <w:rPr>
                <w:b/>
                <w:color w:val="FFFFFF"/>
                <w:sz w:val="16"/>
              </w:rPr>
              <w:t>Term</w:t>
            </w:r>
          </w:p>
        </w:tc>
        <w:tc>
          <w:tcPr>
            <w:tcW w:type="dxa" w:w="3168"/>
            <w:shd w:fill="1B7F79"/>
            <w:tcMar>
              <w:top w:w="110" w:type="dxa"/>
              <w:start w:w="110" w:type="dxa"/>
              <w:bottom w:w="110" w:type="dxa"/>
              <w:end w:w="110" w:type="dxa"/>
            </w:tcMar>
            <w:vAlign w:val="center"/>
          </w:tcPr>
          <w:p>
            <w:r>
              <w:rPr>
                <w:b/>
                <w:color w:val="FFFFFF"/>
                <w:sz w:val="16"/>
              </w:rPr>
              <w:t>Illustrative Version 4 assumption</w:t>
            </w:r>
          </w:p>
        </w:tc>
        <w:tc>
          <w:tcPr>
            <w:tcW w:type="dxa" w:w="4536"/>
            <w:shd w:fill="1B7F79"/>
            <w:tcMar>
              <w:top w:w="110" w:type="dxa"/>
              <w:start w:w="110" w:type="dxa"/>
              <w:bottom w:w="110" w:type="dxa"/>
              <w:end w:w="110" w:type="dxa"/>
            </w:tcMar>
            <w:vAlign w:val="center"/>
          </w:tcPr>
          <w:p>
            <w:r>
              <w:rPr>
                <w:b/>
                <w:color w:val="FFFFFF"/>
                <w:sz w:val="16"/>
              </w:rPr>
              <w:t>Required action</w:t>
            </w:r>
          </w:p>
        </w:tc>
      </w:tr>
      <w:tr>
        <w:tc>
          <w:tcPr>
            <w:tcW w:type="dxa" w:w="2376"/>
            <w:tcMar>
              <w:top w:w="110" w:type="dxa"/>
              <w:start w:w="110" w:type="dxa"/>
              <w:bottom w:w="110" w:type="dxa"/>
              <w:end w:w="110" w:type="dxa"/>
            </w:tcMar>
            <w:vAlign w:val="center"/>
          </w:tcPr>
          <w:p>
            <w:pPr>
              <w:spacing w:after="0"/>
            </w:pPr>
            <w:r>
              <w:rPr>
                <w:rFonts w:ascii="Aptos" w:hAnsi="Aptos"/>
                <w:color w:val="232D37"/>
                <w:sz w:val="16"/>
              </w:rPr>
              <w:t>Conversion discount</w:t>
            </w:r>
          </w:p>
        </w:tc>
        <w:tc>
          <w:tcPr>
            <w:tcW w:type="dxa" w:w="3168"/>
            <w:tcMar>
              <w:top w:w="110" w:type="dxa"/>
              <w:start w:w="110" w:type="dxa"/>
              <w:bottom w:w="110" w:type="dxa"/>
              <w:end w:w="110" w:type="dxa"/>
            </w:tcMar>
            <w:vAlign w:val="center"/>
          </w:tcPr>
          <w:p>
            <w:pPr>
              <w:spacing w:after="0"/>
            </w:pPr>
            <w:r>
              <w:rPr>
                <w:rFonts w:ascii="Aptos" w:hAnsi="Aptos"/>
                <w:color w:val="232D37"/>
                <w:sz w:val="16"/>
              </w:rPr>
              <w:t>20%</w:t>
            </w:r>
          </w:p>
        </w:tc>
        <w:tc>
          <w:tcPr>
            <w:tcW w:type="dxa" w:w="4536"/>
            <w:tcMar>
              <w:top w:w="110" w:type="dxa"/>
              <w:start w:w="110" w:type="dxa"/>
              <w:bottom w:w="110" w:type="dxa"/>
              <w:end w:w="110" w:type="dxa"/>
            </w:tcMar>
            <w:vAlign w:val="center"/>
          </w:tcPr>
          <w:p>
            <w:pPr>
              <w:spacing w:after="0"/>
            </w:pPr>
            <w:r>
              <w:rPr>
                <w:rFonts w:ascii="Aptos" w:hAnsi="Aptos"/>
                <w:color w:val="232D37"/>
                <w:sz w:val="16"/>
              </w:rPr>
              <w:t>Counsel to define eligible financing price and mechanics</w:t>
            </w:r>
          </w:p>
        </w:tc>
      </w:tr>
      <w:tr>
        <w:tc>
          <w:tcPr>
            <w:tcW w:type="dxa" w:w="2376"/>
            <w:tcMar>
              <w:top w:w="110" w:type="dxa"/>
              <w:start w:w="110" w:type="dxa"/>
              <w:bottom w:w="110" w:type="dxa"/>
              <w:end w:w="110" w:type="dxa"/>
            </w:tcMar>
            <w:vAlign w:val="center"/>
            <w:shd w:fill="F4F7FA"/>
          </w:tcPr>
          <w:p>
            <w:pPr>
              <w:spacing w:after="0"/>
            </w:pPr>
            <w:r>
              <w:rPr>
                <w:rFonts w:ascii="Aptos" w:hAnsi="Aptos"/>
                <w:color w:val="232D37"/>
                <w:sz w:val="16"/>
              </w:rPr>
              <w:t>Valuation cap</w:t>
            </w:r>
          </w:p>
        </w:tc>
        <w:tc>
          <w:tcPr>
            <w:tcW w:type="dxa" w:w="3168"/>
            <w:tcMar>
              <w:top w:w="110" w:type="dxa"/>
              <w:start w:w="110" w:type="dxa"/>
              <w:bottom w:w="110" w:type="dxa"/>
              <w:end w:w="110" w:type="dxa"/>
            </w:tcMar>
            <w:vAlign w:val="center"/>
            <w:shd w:fill="F4F7FA"/>
          </w:tcPr>
          <w:p>
            <w:pPr>
              <w:spacing w:after="0"/>
            </w:pPr>
            <w:r>
              <w:rPr>
                <w:rFonts w:ascii="Aptos" w:hAnsi="Aptos"/>
                <w:color w:val="232D37"/>
                <w:sz w:val="16"/>
              </w:rPr>
              <w:t>$12.0 million pre-money</w:t>
            </w:r>
          </w:p>
        </w:tc>
        <w:tc>
          <w:tcPr>
            <w:tcW w:type="dxa" w:w="4536"/>
            <w:tcMar>
              <w:top w:w="110" w:type="dxa"/>
              <w:start w:w="110" w:type="dxa"/>
              <w:bottom w:w="110" w:type="dxa"/>
              <w:end w:w="110" w:type="dxa"/>
            </w:tcMar>
            <w:vAlign w:val="center"/>
            <w:shd w:fill="F4F7FA"/>
          </w:tcPr>
          <w:p>
            <w:pPr>
              <w:spacing w:after="0"/>
            </w:pPr>
            <w:r>
              <w:rPr>
                <w:rFonts w:ascii="Aptos" w:hAnsi="Aptos"/>
                <w:color w:val="232D37"/>
                <w:sz w:val="16"/>
              </w:rPr>
              <w:t>Confirm capitalization basis and fully diluted definition</w:t>
            </w:r>
          </w:p>
        </w:tc>
      </w:tr>
      <w:tr>
        <w:tc>
          <w:tcPr>
            <w:tcW w:type="dxa" w:w="2376"/>
            <w:tcMar>
              <w:top w:w="110" w:type="dxa"/>
              <w:start w:w="110" w:type="dxa"/>
              <w:bottom w:w="110" w:type="dxa"/>
              <w:end w:w="110" w:type="dxa"/>
            </w:tcMar>
            <w:vAlign w:val="center"/>
          </w:tcPr>
          <w:p>
            <w:pPr>
              <w:spacing w:after="0"/>
            </w:pPr>
            <w:r>
              <w:rPr>
                <w:rFonts w:ascii="Aptos" w:hAnsi="Aptos"/>
                <w:color w:val="232D37"/>
                <w:sz w:val="16"/>
              </w:rPr>
              <w:t>Qualified financing</w:t>
            </w:r>
          </w:p>
        </w:tc>
        <w:tc>
          <w:tcPr>
            <w:tcW w:type="dxa" w:w="3168"/>
            <w:tcMar>
              <w:top w:w="110" w:type="dxa"/>
              <w:start w:w="110" w:type="dxa"/>
              <w:bottom w:w="110" w:type="dxa"/>
              <w:end w:w="110" w:type="dxa"/>
            </w:tcMar>
            <w:vAlign w:val="center"/>
          </w:tcPr>
          <w:p>
            <w:pPr>
              <w:spacing w:after="0"/>
            </w:pPr>
            <w:r>
              <w:rPr>
                <w:rFonts w:ascii="Aptos" w:hAnsi="Aptos"/>
                <w:color w:val="232D37"/>
                <w:sz w:val="16"/>
              </w:rPr>
              <w:t>$5.0 million new-money threshold</w:t>
            </w:r>
          </w:p>
        </w:tc>
        <w:tc>
          <w:tcPr>
            <w:tcW w:type="dxa" w:w="4536"/>
            <w:tcMar>
              <w:top w:w="110" w:type="dxa"/>
              <w:start w:w="110" w:type="dxa"/>
              <w:bottom w:w="110" w:type="dxa"/>
              <w:end w:w="110" w:type="dxa"/>
            </w:tcMar>
            <w:vAlign w:val="center"/>
          </w:tcPr>
          <w:p>
            <w:pPr>
              <w:spacing w:after="0"/>
            </w:pPr>
            <w:r>
              <w:rPr>
                <w:rFonts w:ascii="Aptos" w:hAnsi="Aptos"/>
                <w:color w:val="232D37"/>
                <w:sz w:val="16"/>
              </w:rPr>
              <w:t>Define included securities and closing aggregation</w:t>
            </w:r>
          </w:p>
        </w:tc>
      </w:tr>
      <w:tr>
        <w:tc>
          <w:tcPr>
            <w:tcW w:type="dxa" w:w="2376"/>
            <w:tcMar>
              <w:top w:w="110" w:type="dxa"/>
              <w:start w:w="110" w:type="dxa"/>
              <w:bottom w:w="110" w:type="dxa"/>
              <w:end w:w="110" w:type="dxa"/>
            </w:tcMar>
            <w:vAlign w:val="center"/>
            <w:shd w:fill="F4F7FA"/>
          </w:tcPr>
          <w:p>
            <w:pPr>
              <w:spacing w:after="0"/>
            </w:pPr>
            <w:r>
              <w:rPr>
                <w:rFonts w:ascii="Aptos" w:hAnsi="Aptos"/>
                <w:color w:val="232D37"/>
                <w:sz w:val="16"/>
              </w:rPr>
              <w:t>Maturity</w:t>
            </w:r>
          </w:p>
        </w:tc>
        <w:tc>
          <w:tcPr>
            <w:tcW w:type="dxa" w:w="3168"/>
            <w:tcMar>
              <w:top w:w="110" w:type="dxa"/>
              <w:start w:w="110" w:type="dxa"/>
              <w:bottom w:w="110" w:type="dxa"/>
              <w:end w:w="110" w:type="dxa"/>
            </w:tcMar>
            <w:vAlign w:val="center"/>
            <w:shd w:fill="F4F7FA"/>
          </w:tcPr>
          <w:p>
            <w:pPr>
              <w:spacing w:after="0"/>
            </w:pPr>
            <w:r>
              <w:rPr>
                <w:rFonts w:ascii="Aptos" w:hAnsi="Aptos"/>
                <w:color w:val="232D37"/>
                <w:sz w:val="16"/>
              </w:rPr>
              <w:t>November 30, 2030</w:t>
            </w:r>
          </w:p>
        </w:tc>
        <w:tc>
          <w:tcPr>
            <w:tcW w:type="dxa" w:w="4536"/>
            <w:tcMar>
              <w:top w:w="110" w:type="dxa"/>
              <w:start w:w="110" w:type="dxa"/>
              <w:bottom w:w="110" w:type="dxa"/>
              <w:end w:w="110" w:type="dxa"/>
            </w:tcMar>
            <w:vAlign w:val="center"/>
            <w:shd w:fill="F4F7FA"/>
          </w:tcPr>
          <w:p>
            <w:pPr>
              <w:spacing w:after="0"/>
            </w:pPr>
            <w:r>
              <w:rPr>
                <w:rFonts w:ascii="Aptos" w:hAnsi="Aptos"/>
                <w:color w:val="232D37"/>
                <w:sz w:val="16"/>
              </w:rPr>
              <w:t>Proposed 36 months after final scheduled close</w:t>
            </w:r>
          </w:p>
        </w:tc>
      </w:tr>
      <w:tr>
        <w:tc>
          <w:tcPr>
            <w:tcW w:type="dxa" w:w="2376"/>
            <w:tcMar>
              <w:top w:w="110" w:type="dxa"/>
              <w:start w:w="110" w:type="dxa"/>
              <w:bottom w:w="110" w:type="dxa"/>
              <w:end w:w="110" w:type="dxa"/>
            </w:tcMar>
            <w:vAlign w:val="center"/>
          </w:tcPr>
          <w:p>
            <w:pPr>
              <w:spacing w:after="0"/>
            </w:pPr>
            <w:r>
              <w:rPr>
                <w:rFonts w:ascii="Aptos" w:hAnsi="Aptos"/>
                <w:color w:val="232D37"/>
                <w:sz w:val="16"/>
              </w:rPr>
              <w:t>Forecast conversion</w:t>
            </w:r>
          </w:p>
        </w:tc>
        <w:tc>
          <w:tcPr>
            <w:tcW w:type="dxa" w:w="3168"/>
            <w:tcMar>
              <w:top w:w="110" w:type="dxa"/>
              <w:start w:w="110" w:type="dxa"/>
              <w:bottom w:w="110" w:type="dxa"/>
              <w:end w:w="110" w:type="dxa"/>
            </w:tcMar>
            <w:vAlign w:val="center"/>
          </w:tcPr>
          <w:p>
            <w:pPr>
              <w:spacing w:after="0"/>
            </w:pPr>
            <w:r>
              <w:rPr>
                <w:rFonts w:ascii="Aptos" w:hAnsi="Aptos"/>
                <w:color w:val="232D37"/>
                <w:sz w:val="16"/>
              </w:rPr>
              <w:t>None through December 2029</w:t>
            </w:r>
          </w:p>
        </w:tc>
        <w:tc>
          <w:tcPr>
            <w:tcW w:type="dxa" w:w="4536"/>
            <w:tcMar>
              <w:top w:w="110" w:type="dxa"/>
              <w:start w:w="110" w:type="dxa"/>
              <w:bottom w:w="110" w:type="dxa"/>
              <w:end w:w="110" w:type="dxa"/>
            </w:tcMar>
            <w:vAlign w:val="center"/>
          </w:tcPr>
          <w:p>
            <w:pPr>
              <w:spacing w:after="0"/>
            </w:pPr>
            <w:r>
              <w:rPr>
                <w:rFonts w:ascii="Aptos" w:hAnsi="Aptos"/>
                <w:color w:val="232D37"/>
                <w:sz w:val="16"/>
              </w:rPr>
              <w:t>No qualifying financing is assumed in the Base Case</w:t>
            </w:r>
          </w:p>
        </w:tc>
      </w:tr>
    </w:tbl>
    <w:p>
      <w:pPr>
        <w:spacing w:after="20"/>
      </w:pPr>
    </w:p>
    <w:p>
      <w:r>
        <w:t>The conversion terms provide an equity-upside narrative without recording a conversion event that is not supported by the forecast. They must not be presented as finalized until reflected consistently in the term sheet, note, PPM, subscription agreement, capitalization table, and accounting analysis.</w:t>
      </w:r>
    </w:p>
    <w:p>
      <w:pPr>
        <w:pStyle w:val="Heading1"/>
      </w:pPr>
      <w:r>
        <w:t>3. Capital Deployment and Operating Capacity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5472"/>
            <w:shd w:fill="1B7F79"/>
            <w:tcMar>
              <w:top w:w="110" w:type="dxa"/>
              <w:start w:w="110" w:type="dxa"/>
              <w:bottom w:w="110" w:type="dxa"/>
              <w:end w:w="110" w:type="dxa"/>
            </w:tcMar>
            <w:vAlign w:val="center"/>
          </w:tcPr>
          <w:p>
            <w:r>
              <w:rPr>
                <w:b/>
                <w:color w:val="FFFFFF"/>
                <w:sz w:val="16"/>
              </w:rPr>
              <w:t>Use</w:t>
            </w:r>
          </w:p>
        </w:tc>
        <w:tc>
          <w:tcPr>
            <w:tcW w:type="dxa" w:w="1944"/>
            <w:shd w:fill="1B7F79"/>
            <w:tcMar>
              <w:top w:w="110" w:type="dxa"/>
              <w:start w:w="110" w:type="dxa"/>
              <w:bottom w:w="110" w:type="dxa"/>
              <w:end w:w="110" w:type="dxa"/>
            </w:tcMar>
            <w:vAlign w:val="center"/>
          </w:tcPr>
          <w:p>
            <w:r>
              <w:rPr>
                <w:b/>
                <w:color w:val="FFFFFF"/>
                <w:sz w:val="16"/>
              </w:rPr>
              <w:t>Amount</w:t>
            </w:r>
          </w:p>
        </w:tc>
        <w:tc>
          <w:tcPr>
            <w:tcW w:type="dxa" w:w="1728"/>
            <w:shd w:fill="1B7F79"/>
            <w:tcMar>
              <w:top w:w="110" w:type="dxa"/>
              <w:start w:w="110" w:type="dxa"/>
              <w:bottom w:w="110" w:type="dxa"/>
              <w:end w:w="110" w:type="dxa"/>
            </w:tcMar>
            <w:vAlign w:val="center"/>
          </w:tcPr>
          <w:p>
            <w:r>
              <w:rPr>
                <w:b/>
                <w:color w:val="FFFFFF"/>
                <w:sz w:val="16"/>
              </w:rPr>
              <w:t>% of maximum</w:t>
            </w:r>
          </w:p>
        </w:tc>
      </w:tr>
      <w:tr>
        <w:tc>
          <w:tcPr>
            <w:tcW w:type="dxa" w:w="5472"/>
            <w:tcMar>
              <w:top w:w="110" w:type="dxa"/>
              <w:start w:w="110" w:type="dxa"/>
              <w:bottom w:w="110" w:type="dxa"/>
              <w:end w:w="110" w:type="dxa"/>
            </w:tcMar>
            <w:vAlign w:val="center"/>
          </w:tcPr>
          <w:p>
            <w:pPr>
              <w:spacing w:after="0"/>
            </w:pPr>
            <w:r>
              <w:rPr>
                <w:rFonts w:ascii="Aptos" w:hAnsi="Aptos"/>
                <w:color w:val="232D37"/>
                <w:sz w:val="16"/>
              </w:rPr>
              <w:t>Personnel (non-CEO)</w:t>
            </w:r>
          </w:p>
        </w:tc>
        <w:tc>
          <w:tcPr>
            <w:tcW w:type="dxa" w:w="1944"/>
            <w:tcMar>
              <w:top w:w="110" w:type="dxa"/>
              <w:start w:w="110" w:type="dxa"/>
              <w:bottom w:w="110" w:type="dxa"/>
              <w:end w:w="110" w:type="dxa"/>
            </w:tcMar>
            <w:vAlign w:val="center"/>
          </w:tcPr>
          <w:p>
            <w:pPr>
              <w:spacing w:after="0"/>
            </w:pPr>
            <w:r>
              <w:rPr>
                <w:rFonts w:ascii="Aptos" w:hAnsi="Aptos"/>
                <w:color w:val="232D37"/>
                <w:sz w:val="16"/>
              </w:rPr>
              <w:t>$600,000</w:t>
            </w:r>
          </w:p>
        </w:tc>
        <w:tc>
          <w:tcPr>
            <w:tcW w:type="dxa" w:w="1728"/>
            <w:tcMar>
              <w:top w:w="110" w:type="dxa"/>
              <w:start w:w="110" w:type="dxa"/>
              <w:bottom w:w="110" w:type="dxa"/>
              <w:end w:w="110" w:type="dxa"/>
            </w:tcMar>
            <w:vAlign w:val="center"/>
          </w:tcPr>
          <w:p>
            <w:pPr>
              <w:spacing w:after="0"/>
            </w:pPr>
            <w:r>
              <w:rPr>
                <w:rFonts w:ascii="Aptos" w:hAnsi="Aptos"/>
                <w:color w:val="232D37"/>
                <w:sz w:val="16"/>
              </w:rPr>
              <w:t>20.0%</w:t>
            </w:r>
          </w:p>
        </w:tc>
      </w:tr>
      <w:tr>
        <w:tc>
          <w:tcPr>
            <w:tcW w:type="dxa" w:w="5472"/>
            <w:tcMar>
              <w:top w:w="110" w:type="dxa"/>
              <w:start w:w="110" w:type="dxa"/>
              <w:bottom w:w="110" w:type="dxa"/>
              <w:end w:w="110" w:type="dxa"/>
            </w:tcMar>
            <w:vAlign w:val="center"/>
            <w:shd w:fill="F4F7FA"/>
          </w:tcPr>
          <w:p>
            <w:pPr>
              <w:spacing w:after="0"/>
            </w:pPr>
            <w:r>
              <w:rPr>
                <w:rFonts w:ascii="Aptos" w:hAnsi="Aptos"/>
                <w:color w:val="232D37"/>
                <w:sz w:val="16"/>
              </w:rPr>
              <w:t>Sales and enterprise marketing</w:t>
            </w:r>
          </w:p>
        </w:tc>
        <w:tc>
          <w:tcPr>
            <w:tcW w:type="dxa" w:w="1944"/>
            <w:tcMar>
              <w:top w:w="110" w:type="dxa"/>
              <w:start w:w="110" w:type="dxa"/>
              <w:bottom w:w="110" w:type="dxa"/>
              <w:end w:w="110" w:type="dxa"/>
            </w:tcMar>
            <w:vAlign w:val="center"/>
            <w:shd w:fill="F4F7FA"/>
          </w:tcPr>
          <w:p>
            <w:pPr>
              <w:spacing w:after="0"/>
            </w:pPr>
            <w:r>
              <w:rPr>
                <w:rFonts w:ascii="Aptos" w:hAnsi="Aptos"/>
                <w:color w:val="232D37"/>
                <w:sz w:val="16"/>
              </w:rPr>
              <w:t>$420,000</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14.0%</w:t>
            </w:r>
          </w:p>
        </w:tc>
      </w:tr>
      <w:tr>
        <w:tc>
          <w:tcPr>
            <w:tcW w:type="dxa" w:w="5472"/>
            <w:tcMar>
              <w:top w:w="110" w:type="dxa"/>
              <w:start w:w="110" w:type="dxa"/>
              <w:bottom w:w="110" w:type="dxa"/>
              <w:end w:w="110" w:type="dxa"/>
            </w:tcMar>
            <w:vAlign w:val="center"/>
          </w:tcPr>
          <w:p>
            <w:pPr>
              <w:spacing w:after="0"/>
            </w:pPr>
            <w:r>
              <w:rPr>
                <w:rFonts w:ascii="Aptos" w:hAnsi="Aptos"/>
                <w:color w:val="232D37"/>
                <w:sz w:val="16"/>
              </w:rPr>
              <w:t>Technology / AI / cloud</w:t>
            </w:r>
          </w:p>
        </w:tc>
        <w:tc>
          <w:tcPr>
            <w:tcW w:type="dxa" w:w="1944"/>
            <w:tcMar>
              <w:top w:w="110" w:type="dxa"/>
              <w:start w:w="110" w:type="dxa"/>
              <w:bottom w:w="110" w:type="dxa"/>
              <w:end w:w="110" w:type="dxa"/>
            </w:tcMar>
            <w:vAlign w:val="center"/>
          </w:tcPr>
          <w:p>
            <w:pPr>
              <w:spacing w:after="0"/>
            </w:pPr>
            <w:r>
              <w:rPr>
                <w:rFonts w:ascii="Aptos" w:hAnsi="Aptos"/>
                <w:color w:val="232D37"/>
                <w:sz w:val="16"/>
              </w:rPr>
              <w:t>$180,000</w:t>
            </w:r>
          </w:p>
        </w:tc>
        <w:tc>
          <w:tcPr>
            <w:tcW w:type="dxa" w:w="1728"/>
            <w:tcMar>
              <w:top w:w="110" w:type="dxa"/>
              <w:start w:w="110" w:type="dxa"/>
              <w:bottom w:w="110" w:type="dxa"/>
              <w:end w:w="110" w:type="dxa"/>
            </w:tcMar>
            <w:vAlign w:val="center"/>
          </w:tcPr>
          <w:p>
            <w:pPr>
              <w:spacing w:after="0"/>
            </w:pPr>
            <w:r>
              <w:rPr>
                <w:rFonts w:ascii="Aptos" w:hAnsi="Aptos"/>
                <w:color w:val="232D37"/>
                <w:sz w:val="16"/>
              </w:rPr>
              <w:t>6.0%</w:t>
            </w:r>
          </w:p>
        </w:tc>
      </w:tr>
      <w:tr>
        <w:tc>
          <w:tcPr>
            <w:tcW w:type="dxa" w:w="5472"/>
            <w:tcMar>
              <w:top w:w="110" w:type="dxa"/>
              <w:start w:w="110" w:type="dxa"/>
              <w:bottom w:w="110" w:type="dxa"/>
              <w:end w:w="110" w:type="dxa"/>
            </w:tcMar>
            <w:vAlign w:val="center"/>
            <w:shd w:fill="F4F7FA"/>
          </w:tcPr>
          <w:p>
            <w:pPr>
              <w:spacing w:after="0"/>
            </w:pPr>
            <w:r>
              <w:rPr>
                <w:rFonts w:ascii="Aptos" w:hAnsi="Aptos"/>
                <w:color w:val="232D37"/>
                <w:sz w:val="16"/>
              </w:rPr>
              <w:t>CEO compensation</w:t>
            </w:r>
          </w:p>
        </w:tc>
        <w:tc>
          <w:tcPr>
            <w:tcW w:type="dxa" w:w="1944"/>
            <w:tcMar>
              <w:top w:w="110" w:type="dxa"/>
              <w:start w:w="110" w:type="dxa"/>
              <w:bottom w:w="110" w:type="dxa"/>
              <w:end w:w="110" w:type="dxa"/>
            </w:tcMar>
            <w:vAlign w:val="center"/>
            <w:shd w:fill="F4F7FA"/>
          </w:tcPr>
          <w:p>
            <w:pPr>
              <w:spacing w:after="0"/>
            </w:pPr>
            <w:r>
              <w:rPr>
                <w:rFonts w:ascii="Aptos" w:hAnsi="Aptos"/>
                <w:color w:val="232D37"/>
                <w:sz w:val="16"/>
              </w:rPr>
              <w:t>$120,000</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4.0%</w:t>
            </w:r>
          </w:p>
        </w:tc>
      </w:tr>
      <w:tr>
        <w:tc>
          <w:tcPr>
            <w:tcW w:type="dxa" w:w="5472"/>
            <w:tcMar>
              <w:top w:w="110" w:type="dxa"/>
              <w:start w:w="110" w:type="dxa"/>
              <w:bottom w:w="110" w:type="dxa"/>
              <w:end w:w="110" w:type="dxa"/>
            </w:tcMar>
            <w:vAlign w:val="center"/>
          </w:tcPr>
          <w:p>
            <w:pPr>
              <w:spacing w:after="0"/>
            </w:pPr>
            <w:r>
              <w:rPr>
                <w:rFonts w:ascii="Aptos" w:hAnsi="Aptos"/>
                <w:color w:val="232D37"/>
                <w:sz w:val="16"/>
              </w:rPr>
              <w:t>Legal / compliance / audit</w:t>
            </w:r>
          </w:p>
        </w:tc>
        <w:tc>
          <w:tcPr>
            <w:tcW w:type="dxa" w:w="1944"/>
            <w:tcMar>
              <w:top w:w="110" w:type="dxa"/>
              <w:start w:w="110" w:type="dxa"/>
              <w:bottom w:w="110" w:type="dxa"/>
              <w:end w:w="110" w:type="dxa"/>
            </w:tcMar>
            <w:vAlign w:val="center"/>
          </w:tcPr>
          <w:p>
            <w:pPr>
              <w:spacing w:after="0"/>
            </w:pPr>
            <w:r>
              <w:rPr>
                <w:rFonts w:ascii="Aptos" w:hAnsi="Aptos"/>
                <w:color w:val="232D37"/>
                <w:sz w:val="16"/>
              </w:rPr>
              <w:t>$80,000</w:t>
            </w:r>
          </w:p>
        </w:tc>
        <w:tc>
          <w:tcPr>
            <w:tcW w:type="dxa" w:w="1728"/>
            <w:tcMar>
              <w:top w:w="110" w:type="dxa"/>
              <w:start w:w="110" w:type="dxa"/>
              <w:bottom w:w="110" w:type="dxa"/>
              <w:end w:w="110" w:type="dxa"/>
            </w:tcMar>
            <w:vAlign w:val="center"/>
          </w:tcPr>
          <w:p>
            <w:pPr>
              <w:spacing w:after="0"/>
            </w:pPr>
            <w:r>
              <w:rPr>
                <w:rFonts w:ascii="Aptos" w:hAnsi="Aptos"/>
                <w:color w:val="232D37"/>
                <w:sz w:val="16"/>
              </w:rPr>
              <w:t>2.7%</w:t>
            </w:r>
          </w:p>
        </w:tc>
      </w:tr>
      <w:tr>
        <w:tc>
          <w:tcPr>
            <w:tcW w:type="dxa" w:w="5472"/>
            <w:tcMar>
              <w:top w:w="110" w:type="dxa"/>
              <w:start w:w="110" w:type="dxa"/>
              <w:bottom w:w="110" w:type="dxa"/>
              <w:end w:w="110" w:type="dxa"/>
            </w:tcMar>
            <w:vAlign w:val="center"/>
            <w:shd w:fill="F4F7FA"/>
          </w:tcPr>
          <w:p>
            <w:pPr>
              <w:spacing w:after="0"/>
            </w:pPr>
            <w:r>
              <w:rPr>
                <w:rFonts w:ascii="Aptos" w:hAnsi="Aptos"/>
                <w:color w:val="232D37"/>
                <w:sz w:val="16"/>
              </w:rPr>
              <w:t>Insurance, travel, office and consultants</w:t>
            </w:r>
          </w:p>
        </w:tc>
        <w:tc>
          <w:tcPr>
            <w:tcW w:type="dxa" w:w="1944"/>
            <w:tcMar>
              <w:top w:w="110" w:type="dxa"/>
              <w:start w:w="110" w:type="dxa"/>
              <w:bottom w:w="110" w:type="dxa"/>
              <w:end w:w="110" w:type="dxa"/>
            </w:tcMar>
            <w:vAlign w:val="center"/>
            <w:shd w:fill="F4F7FA"/>
          </w:tcPr>
          <w:p>
            <w:pPr>
              <w:spacing w:after="0"/>
            </w:pPr>
            <w:r>
              <w:rPr>
                <w:rFonts w:ascii="Aptos" w:hAnsi="Aptos"/>
                <w:color w:val="232D37"/>
                <w:sz w:val="16"/>
              </w:rPr>
              <w:t>$140,000</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4.7%</w:t>
            </w:r>
          </w:p>
        </w:tc>
      </w:tr>
      <w:tr>
        <w:tc>
          <w:tcPr>
            <w:tcW w:type="dxa" w:w="5472"/>
            <w:tcMar>
              <w:top w:w="110" w:type="dxa"/>
              <w:start w:w="110" w:type="dxa"/>
              <w:bottom w:w="110" w:type="dxa"/>
              <w:end w:w="110" w:type="dxa"/>
            </w:tcMar>
            <w:vAlign w:val="center"/>
          </w:tcPr>
          <w:p>
            <w:pPr>
              <w:spacing w:after="0"/>
            </w:pPr>
            <w:r>
              <w:rPr>
                <w:rFonts w:ascii="Aptos" w:hAnsi="Aptos"/>
                <w:color w:val="232D37"/>
                <w:sz w:val="16"/>
              </w:rPr>
              <w:t>Liquidity reserve</w:t>
            </w:r>
          </w:p>
        </w:tc>
        <w:tc>
          <w:tcPr>
            <w:tcW w:type="dxa" w:w="1944"/>
            <w:tcMar>
              <w:top w:w="110" w:type="dxa"/>
              <w:start w:w="110" w:type="dxa"/>
              <w:bottom w:w="110" w:type="dxa"/>
              <w:end w:w="110" w:type="dxa"/>
            </w:tcMar>
            <w:vAlign w:val="center"/>
          </w:tcPr>
          <w:p>
            <w:pPr>
              <w:spacing w:after="0"/>
            </w:pPr>
            <w:r>
              <w:rPr>
                <w:rFonts w:ascii="Aptos" w:hAnsi="Aptos"/>
                <w:color w:val="232D37"/>
                <w:sz w:val="16"/>
              </w:rPr>
              <w:t>$300,000</w:t>
            </w:r>
          </w:p>
        </w:tc>
        <w:tc>
          <w:tcPr>
            <w:tcW w:type="dxa" w:w="1728"/>
            <w:tcMar>
              <w:top w:w="110" w:type="dxa"/>
              <w:start w:w="110" w:type="dxa"/>
              <w:bottom w:w="110" w:type="dxa"/>
              <w:end w:w="110" w:type="dxa"/>
            </w:tcMar>
            <w:vAlign w:val="center"/>
          </w:tcPr>
          <w:p>
            <w:pPr>
              <w:spacing w:after="0"/>
            </w:pPr>
            <w:r>
              <w:rPr>
                <w:rFonts w:ascii="Aptos" w:hAnsi="Aptos"/>
                <w:color w:val="232D37"/>
                <w:sz w:val="16"/>
              </w:rPr>
              <w:t>10.0%</w:t>
            </w:r>
          </w:p>
        </w:tc>
      </w:tr>
      <w:tr>
        <w:tc>
          <w:tcPr>
            <w:tcW w:type="dxa" w:w="5472"/>
            <w:tcMar>
              <w:top w:w="110" w:type="dxa"/>
              <w:start w:w="110" w:type="dxa"/>
              <w:bottom w:w="110" w:type="dxa"/>
              <w:end w:w="110" w:type="dxa"/>
            </w:tcMar>
            <w:vAlign w:val="center"/>
            <w:shd w:fill="F4F7FA"/>
          </w:tcPr>
          <w:p>
            <w:pPr>
              <w:spacing w:after="0"/>
            </w:pPr>
            <w:r>
              <w:rPr>
                <w:rFonts w:ascii="Aptos" w:hAnsi="Aptos"/>
                <w:color w:val="232D37"/>
                <w:sz w:val="16"/>
              </w:rPr>
              <w:t>Working capital / contingency</w:t>
            </w:r>
          </w:p>
        </w:tc>
        <w:tc>
          <w:tcPr>
            <w:tcW w:type="dxa" w:w="1944"/>
            <w:tcMar>
              <w:top w:w="110" w:type="dxa"/>
              <w:start w:w="110" w:type="dxa"/>
              <w:bottom w:w="110" w:type="dxa"/>
              <w:end w:w="110" w:type="dxa"/>
            </w:tcMar>
            <w:vAlign w:val="center"/>
            <w:shd w:fill="F4F7FA"/>
          </w:tcPr>
          <w:p>
            <w:pPr>
              <w:spacing w:after="0"/>
            </w:pPr>
            <w:r>
              <w:rPr>
                <w:rFonts w:ascii="Aptos" w:hAnsi="Aptos"/>
                <w:color w:val="232D37"/>
                <w:sz w:val="16"/>
              </w:rPr>
              <w:t>$1,160,000</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38.7%</w:t>
            </w:r>
          </w:p>
        </w:tc>
      </w:tr>
      <w:tr>
        <w:tc>
          <w:tcPr>
            <w:tcW w:type="dxa" w:w="5472"/>
            <w:tcMar>
              <w:top w:w="110" w:type="dxa"/>
              <w:start w:w="110" w:type="dxa"/>
              <w:bottom w:w="110" w:type="dxa"/>
              <w:end w:w="110" w:type="dxa"/>
            </w:tcMar>
            <w:vAlign w:val="center"/>
          </w:tcPr>
          <w:p>
            <w:pPr>
              <w:spacing w:after="0"/>
            </w:pPr>
            <w:r>
              <w:rPr>
                <w:rFonts w:ascii="Aptos" w:hAnsi="Aptos"/>
                <w:color w:val="232D37"/>
                <w:sz w:val="16"/>
              </w:rPr>
              <w:t>Total</w:t>
            </w:r>
          </w:p>
        </w:tc>
        <w:tc>
          <w:tcPr>
            <w:tcW w:type="dxa" w:w="1944"/>
            <w:tcMar>
              <w:top w:w="110" w:type="dxa"/>
              <w:start w:w="110" w:type="dxa"/>
              <w:bottom w:w="110" w:type="dxa"/>
              <w:end w:w="110" w:type="dxa"/>
            </w:tcMar>
            <w:vAlign w:val="center"/>
          </w:tcPr>
          <w:p>
            <w:pPr>
              <w:spacing w:after="0"/>
            </w:pPr>
            <w:r>
              <w:rPr>
                <w:rFonts w:ascii="Aptos" w:hAnsi="Aptos"/>
                <w:color w:val="232D37"/>
                <w:sz w:val="16"/>
              </w:rPr>
              <w:t>$3,000,000</w:t>
            </w:r>
          </w:p>
        </w:tc>
        <w:tc>
          <w:tcPr>
            <w:tcW w:type="dxa" w:w="1728"/>
            <w:tcMar>
              <w:top w:w="110" w:type="dxa"/>
              <w:start w:w="110" w:type="dxa"/>
              <w:bottom w:w="110" w:type="dxa"/>
              <w:end w:w="110" w:type="dxa"/>
            </w:tcMar>
            <w:vAlign w:val="center"/>
          </w:tcPr>
          <w:p>
            <w:pPr>
              <w:spacing w:after="0"/>
            </w:pPr>
            <w:r>
              <w:rPr>
                <w:rFonts w:ascii="Aptos" w:hAnsi="Aptos"/>
                <w:color w:val="232D37"/>
                <w:sz w:val="16"/>
              </w:rPr>
              <w:t>100.0%</w:t>
            </w:r>
          </w:p>
        </w:tc>
      </w:tr>
    </w:tbl>
    <w:p>
      <w:pPr>
        <w:spacing w:after="20"/>
      </w:pPr>
    </w:p>
    <w:p>
      <w:r>
        <w:t>Personnel, enterprise sales, and technology together represent $1.2 million, or 40% of the maximum raise. The sales allocation includes the requested $300,000 increase intended to support two enterprise account executives, one sales-development representative, trade shows, paid acquisition, and pilot demonstrations. Actual compensation plans and hiring dates remain to be documented.</w:t>
      </w:r>
    </w:p>
    <w:p>
      <w:r>
        <w:t>Version 4 distinguishes the multi-year allocation from the 2027 expense budget. The 2027 model deploys $420,000 to non-CEO personnel, $300,000 to sales and enterprise marketing, and $120,000 to technology, with the remaining approved growth allocation staged into later periods as hiring, client, and product milestones are achieved. Total 2027 operating expense is $1.18 million.</w:t>
      </w:r>
    </w:p>
    <w:p>
      <w:r>
        <w:t>The remaining working-capital amount is still material. Management should convert it into a board-approved deployment schedule with hiring gates, product milestones, customer-success capacity, and downside controls before investor circulation.</w:t>
      </w:r>
    </w:p>
    <w:p>
      <w:pPr>
        <w:pStyle w:val="Heading1"/>
      </w:pPr>
      <w:r>
        <w:t>4. Sales Funnel and Revenue Support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4032"/>
            <w:shd w:fill="1B7F79"/>
            <w:tcMar>
              <w:top w:w="110" w:type="dxa"/>
              <w:start w:w="110" w:type="dxa"/>
              <w:bottom w:w="110" w:type="dxa"/>
              <w:end w:w="110" w:type="dxa"/>
            </w:tcMar>
            <w:vAlign w:val="center"/>
          </w:tcPr>
          <w:p>
            <w:r>
              <w:rPr>
                <w:b/>
                <w:color w:val="FFFFFF"/>
                <w:sz w:val="16"/>
              </w:rPr>
              <w:t>Funnel metric</w:t>
            </w:r>
          </w:p>
        </w:tc>
        <w:tc>
          <w:tcPr>
            <w:tcW w:type="dxa" w:w="1728"/>
            <w:shd w:fill="1B7F79"/>
            <w:tcMar>
              <w:top w:w="110" w:type="dxa"/>
              <w:start w:w="110" w:type="dxa"/>
              <w:bottom w:w="110" w:type="dxa"/>
              <w:end w:w="110" w:type="dxa"/>
            </w:tcMar>
            <w:vAlign w:val="center"/>
          </w:tcPr>
          <w:p>
            <w:r>
              <w:rPr>
                <w:b/>
                <w:color w:val="FFFFFF"/>
                <w:sz w:val="16"/>
              </w:rPr>
              <w:t>2027</w:t>
            </w:r>
          </w:p>
        </w:tc>
        <w:tc>
          <w:tcPr>
            <w:tcW w:type="dxa" w:w="1728"/>
            <w:shd w:fill="1B7F79"/>
            <w:tcMar>
              <w:top w:w="110" w:type="dxa"/>
              <w:start w:w="110" w:type="dxa"/>
              <w:bottom w:w="110" w:type="dxa"/>
              <w:end w:w="110" w:type="dxa"/>
            </w:tcMar>
            <w:vAlign w:val="center"/>
          </w:tcPr>
          <w:p>
            <w:r>
              <w:rPr>
                <w:b/>
                <w:color w:val="FFFFFF"/>
                <w:sz w:val="16"/>
              </w:rPr>
              <w:t>2028</w:t>
            </w:r>
          </w:p>
        </w:tc>
        <w:tc>
          <w:tcPr>
            <w:tcW w:type="dxa" w:w="1728"/>
            <w:shd w:fill="1B7F79"/>
            <w:tcMar>
              <w:top w:w="110" w:type="dxa"/>
              <w:start w:w="110" w:type="dxa"/>
              <w:bottom w:w="110" w:type="dxa"/>
              <w:end w:w="110" w:type="dxa"/>
            </w:tcMar>
            <w:vAlign w:val="center"/>
          </w:tcPr>
          <w:p>
            <w:r>
              <w:rPr>
                <w:b/>
                <w:color w:val="FFFFFF"/>
                <w:sz w:val="16"/>
              </w:rPr>
              <w:t>2029</w:t>
            </w:r>
          </w:p>
        </w:tc>
      </w:tr>
      <w:tr>
        <w:tc>
          <w:tcPr>
            <w:tcW w:type="dxa" w:w="4032"/>
            <w:tcMar>
              <w:top w:w="110" w:type="dxa"/>
              <w:start w:w="110" w:type="dxa"/>
              <w:bottom w:w="110" w:type="dxa"/>
              <w:end w:w="110" w:type="dxa"/>
            </w:tcMar>
            <w:vAlign w:val="center"/>
          </w:tcPr>
          <w:p>
            <w:pPr>
              <w:spacing w:after="0"/>
            </w:pPr>
            <w:r>
              <w:rPr>
                <w:rFonts w:ascii="Aptos" w:hAnsi="Aptos"/>
                <w:color w:val="232D37"/>
                <w:sz w:val="16"/>
              </w:rPr>
              <w:t>Qualified leads</w:t>
            </w:r>
          </w:p>
        </w:tc>
        <w:tc>
          <w:tcPr>
            <w:tcW w:type="dxa" w:w="1728"/>
            <w:tcMar>
              <w:top w:w="110" w:type="dxa"/>
              <w:start w:w="110" w:type="dxa"/>
              <w:bottom w:w="110" w:type="dxa"/>
              <w:end w:w="110" w:type="dxa"/>
            </w:tcMar>
            <w:vAlign w:val="center"/>
          </w:tcPr>
          <w:p>
            <w:pPr>
              <w:spacing w:after="0"/>
            </w:pPr>
            <w:r>
              <w:rPr>
                <w:rFonts w:ascii="Aptos" w:hAnsi="Aptos"/>
                <w:color w:val="232D37"/>
                <w:sz w:val="16"/>
              </w:rPr>
              <w:t>360</w:t>
            </w:r>
          </w:p>
        </w:tc>
        <w:tc>
          <w:tcPr>
            <w:tcW w:type="dxa" w:w="1728"/>
            <w:tcMar>
              <w:top w:w="110" w:type="dxa"/>
              <w:start w:w="110" w:type="dxa"/>
              <w:bottom w:w="110" w:type="dxa"/>
              <w:end w:w="110" w:type="dxa"/>
            </w:tcMar>
            <w:vAlign w:val="center"/>
          </w:tcPr>
          <w:p>
            <w:pPr>
              <w:spacing w:after="0"/>
            </w:pPr>
            <w:r>
              <w:rPr>
                <w:rFonts w:ascii="Aptos" w:hAnsi="Aptos"/>
                <w:color w:val="232D37"/>
                <w:sz w:val="16"/>
              </w:rPr>
              <w:t>180</w:t>
            </w:r>
          </w:p>
        </w:tc>
        <w:tc>
          <w:tcPr>
            <w:tcW w:type="dxa" w:w="1728"/>
            <w:tcMar>
              <w:top w:w="110" w:type="dxa"/>
              <w:start w:w="110" w:type="dxa"/>
              <w:bottom w:w="110" w:type="dxa"/>
              <w:end w:w="110" w:type="dxa"/>
            </w:tcMar>
            <w:vAlign w:val="center"/>
          </w:tcPr>
          <w:p>
            <w:pPr>
              <w:spacing w:after="0"/>
            </w:pPr>
            <w:r>
              <w:rPr>
                <w:rFonts w:ascii="Aptos" w:hAnsi="Aptos"/>
                <w:color w:val="232D37"/>
                <w:sz w:val="16"/>
              </w:rPr>
              <w:t>180</w:t>
            </w:r>
          </w:p>
        </w:tc>
      </w:tr>
      <w:tr>
        <w:tc>
          <w:tcPr>
            <w:tcW w:type="dxa" w:w="4032"/>
            <w:tcMar>
              <w:top w:w="110" w:type="dxa"/>
              <w:start w:w="110" w:type="dxa"/>
              <w:bottom w:w="110" w:type="dxa"/>
              <w:end w:w="110" w:type="dxa"/>
            </w:tcMar>
            <w:vAlign w:val="center"/>
            <w:shd w:fill="F4F7FA"/>
          </w:tcPr>
          <w:p>
            <w:pPr>
              <w:spacing w:after="0"/>
            </w:pPr>
            <w:r>
              <w:rPr>
                <w:rFonts w:ascii="Aptos" w:hAnsi="Aptos"/>
                <w:color w:val="232D37"/>
                <w:sz w:val="16"/>
              </w:rPr>
              <w:t>Demos / discovery</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108</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54</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54</w:t>
            </w:r>
          </w:p>
        </w:tc>
      </w:tr>
      <w:tr>
        <w:tc>
          <w:tcPr>
            <w:tcW w:type="dxa" w:w="4032"/>
            <w:tcMar>
              <w:top w:w="110" w:type="dxa"/>
              <w:start w:w="110" w:type="dxa"/>
              <w:bottom w:w="110" w:type="dxa"/>
              <w:end w:w="110" w:type="dxa"/>
            </w:tcMar>
            <w:vAlign w:val="center"/>
          </w:tcPr>
          <w:p>
            <w:pPr>
              <w:spacing w:after="0"/>
            </w:pPr>
            <w:r>
              <w:rPr>
                <w:rFonts w:ascii="Aptos" w:hAnsi="Aptos"/>
                <w:color w:val="232D37"/>
                <w:sz w:val="16"/>
              </w:rPr>
              <w:t>Paid or documented pilots</w:t>
            </w:r>
          </w:p>
        </w:tc>
        <w:tc>
          <w:tcPr>
            <w:tcW w:type="dxa" w:w="1728"/>
            <w:tcMar>
              <w:top w:w="110" w:type="dxa"/>
              <w:start w:w="110" w:type="dxa"/>
              <w:bottom w:w="110" w:type="dxa"/>
              <w:end w:w="110" w:type="dxa"/>
            </w:tcMar>
            <w:vAlign w:val="center"/>
          </w:tcPr>
          <w:p>
            <w:pPr>
              <w:spacing w:after="0"/>
            </w:pPr>
            <w:r>
              <w:rPr>
                <w:rFonts w:ascii="Aptos" w:hAnsi="Aptos"/>
                <w:color w:val="232D37"/>
                <w:sz w:val="16"/>
              </w:rPr>
              <w:t>36</w:t>
            </w:r>
          </w:p>
        </w:tc>
        <w:tc>
          <w:tcPr>
            <w:tcW w:type="dxa" w:w="1728"/>
            <w:tcMar>
              <w:top w:w="110" w:type="dxa"/>
              <w:start w:w="110" w:type="dxa"/>
              <w:bottom w:w="110" w:type="dxa"/>
              <w:end w:w="110" w:type="dxa"/>
            </w:tcMar>
            <w:vAlign w:val="center"/>
          </w:tcPr>
          <w:p>
            <w:pPr>
              <w:spacing w:after="0"/>
            </w:pPr>
            <w:r>
              <w:rPr>
                <w:rFonts w:ascii="Aptos" w:hAnsi="Aptos"/>
                <w:color w:val="232D37"/>
                <w:sz w:val="16"/>
              </w:rPr>
              <w:t>18</w:t>
            </w:r>
          </w:p>
        </w:tc>
        <w:tc>
          <w:tcPr>
            <w:tcW w:type="dxa" w:w="1728"/>
            <w:tcMar>
              <w:top w:w="110" w:type="dxa"/>
              <w:start w:w="110" w:type="dxa"/>
              <w:bottom w:w="110" w:type="dxa"/>
              <w:end w:w="110" w:type="dxa"/>
            </w:tcMar>
            <w:vAlign w:val="center"/>
          </w:tcPr>
          <w:p>
            <w:pPr>
              <w:spacing w:after="0"/>
            </w:pPr>
            <w:r>
              <w:rPr>
                <w:rFonts w:ascii="Aptos" w:hAnsi="Aptos"/>
                <w:color w:val="232D37"/>
                <w:sz w:val="16"/>
              </w:rPr>
              <w:t>18</w:t>
            </w:r>
          </w:p>
        </w:tc>
      </w:tr>
      <w:tr>
        <w:tc>
          <w:tcPr>
            <w:tcW w:type="dxa" w:w="4032"/>
            <w:tcMar>
              <w:top w:w="110" w:type="dxa"/>
              <w:start w:w="110" w:type="dxa"/>
              <w:bottom w:w="110" w:type="dxa"/>
              <w:end w:w="110" w:type="dxa"/>
            </w:tcMar>
            <w:vAlign w:val="center"/>
            <w:shd w:fill="F4F7FA"/>
          </w:tcPr>
          <w:p>
            <w:pPr>
              <w:spacing w:after="0"/>
            </w:pPr>
            <w:r>
              <w:rPr>
                <w:rFonts w:ascii="Aptos" w:hAnsi="Aptos"/>
                <w:color w:val="232D37"/>
                <w:sz w:val="16"/>
              </w:rPr>
              <w:t>New clients</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18</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6</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6</w:t>
            </w:r>
          </w:p>
        </w:tc>
      </w:tr>
      <w:tr>
        <w:tc>
          <w:tcPr>
            <w:tcW w:type="dxa" w:w="4032"/>
            <w:tcMar>
              <w:top w:w="110" w:type="dxa"/>
              <w:start w:w="110" w:type="dxa"/>
              <w:bottom w:w="110" w:type="dxa"/>
              <w:end w:w="110" w:type="dxa"/>
            </w:tcMar>
            <w:vAlign w:val="center"/>
          </w:tcPr>
          <w:p>
            <w:pPr>
              <w:spacing w:after="0"/>
            </w:pPr>
            <w:r>
              <w:rPr>
                <w:rFonts w:ascii="Aptos" w:hAnsi="Aptos"/>
                <w:color w:val="232D37"/>
                <w:sz w:val="16"/>
              </w:rPr>
              <w:t>Ending clients</w:t>
            </w:r>
          </w:p>
        </w:tc>
        <w:tc>
          <w:tcPr>
            <w:tcW w:type="dxa" w:w="1728"/>
            <w:tcMar>
              <w:top w:w="110" w:type="dxa"/>
              <w:start w:w="110" w:type="dxa"/>
              <w:bottom w:w="110" w:type="dxa"/>
              <w:end w:w="110" w:type="dxa"/>
            </w:tcMar>
            <w:vAlign w:val="center"/>
          </w:tcPr>
          <w:p>
            <w:pPr>
              <w:spacing w:after="0"/>
            </w:pPr>
            <w:r>
              <w:rPr>
                <w:rFonts w:ascii="Aptos" w:hAnsi="Aptos"/>
                <w:color w:val="232D37"/>
                <w:sz w:val="16"/>
              </w:rPr>
              <w:t>18</w:t>
            </w:r>
          </w:p>
        </w:tc>
        <w:tc>
          <w:tcPr>
            <w:tcW w:type="dxa" w:w="1728"/>
            <w:tcMar>
              <w:top w:w="110" w:type="dxa"/>
              <w:start w:w="110" w:type="dxa"/>
              <w:bottom w:w="110" w:type="dxa"/>
              <w:end w:w="110" w:type="dxa"/>
            </w:tcMar>
            <w:vAlign w:val="center"/>
          </w:tcPr>
          <w:p>
            <w:pPr>
              <w:spacing w:after="0"/>
            </w:pPr>
            <w:r>
              <w:rPr>
                <w:rFonts w:ascii="Aptos" w:hAnsi="Aptos"/>
                <w:color w:val="232D37"/>
                <w:sz w:val="16"/>
              </w:rPr>
              <w:t>24</w:t>
            </w:r>
          </w:p>
        </w:tc>
        <w:tc>
          <w:tcPr>
            <w:tcW w:type="dxa" w:w="1728"/>
            <w:tcMar>
              <w:top w:w="110" w:type="dxa"/>
              <w:start w:w="110" w:type="dxa"/>
              <w:bottom w:w="110" w:type="dxa"/>
              <w:end w:w="110" w:type="dxa"/>
            </w:tcMar>
            <w:vAlign w:val="center"/>
          </w:tcPr>
          <w:p>
            <w:pPr>
              <w:spacing w:after="0"/>
            </w:pPr>
            <w:r>
              <w:rPr>
                <w:rFonts w:ascii="Aptos" w:hAnsi="Aptos"/>
                <w:color w:val="232D37"/>
                <w:sz w:val="16"/>
              </w:rPr>
              <w:t>30</w:t>
            </w:r>
          </w:p>
        </w:tc>
      </w:tr>
      <w:tr>
        <w:tc>
          <w:tcPr>
            <w:tcW w:type="dxa" w:w="4032"/>
            <w:tcMar>
              <w:top w:w="110" w:type="dxa"/>
              <w:start w:w="110" w:type="dxa"/>
              <w:bottom w:w="110" w:type="dxa"/>
              <w:end w:w="110" w:type="dxa"/>
            </w:tcMar>
            <w:vAlign w:val="center"/>
            <w:shd w:fill="F4F7FA"/>
          </w:tcPr>
          <w:p>
            <w:pPr>
              <w:spacing w:after="0"/>
            </w:pPr>
            <w:r>
              <w:rPr>
                <w:rFonts w:ascii="Aptos" w:hAnsi="Aptos"/>
                <w:color w:val="232D37"/>
                <w:sz w:val="16"/>
              </w:rPr>
              <w:t>Lead-to-demo</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30.0%</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30.0%</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30.0%</w:t>
            </w:r>
          </w:p>
        </w:tc>
      </w:tr>
      <w:tr>
        <w:tc>
          <w:tcPr>
            <w:tcW w:type="dxa" w:w="4032"/>
            <w:tcMar>
              <w:top w:w="110" w:type="dxa"/>
              <w:start w:w="110" w:type="dxa"/>
              <w:bottom w:w="110" w:type="dxa"/>
              <w:end w:w="110" w:type="dxa"/>
            </w:tcMar>
            <w:vAlign w:val="center"/>
          </w:tcPr>
          <w:p>
            <w:pPr>
              <w:spacing w:after="0"/>
            </w:pPr>
            <w:r>
              <w:rPr>
                <w:rFonts w:ascii="Aptos" w:hAnsi="Aptos"/>
                <w:color w:val="232D37"/>
                <w:sz w:val="16"/>
              </w:rPr>
              <w:t>Demo-to-pilot</w:t>
            </w:r>
          </w:p>
        </w:tc>
        <w:tc>
          <w:tcPr>
            <w:tcW w:type="dxa" w:w="1728"/>
            <w:tcMar>
              <w:top w:w="110" w:type="dxa"/>
              <w:start w:w="110" w:type="dxa"/>
              <w:bottom w:w="110" w:type="dxa"/>
              <w:end w:w="110" w:type="dxa"/>
            </w:tcMar>
            <w:vAlign w:val="center"/>
          </w:tcPr>
          <w:p>
            <w:pPr>
              <w:spacing w:after="0"/>
            </w:pPr>
            <w:r>
              <w:rPr>
                <w:rFonts w:ascii="Aptos" w:hAnsi="Aptos"/>
                <w:color w:val="232D37"/>
                <w:sz w:val="16"/>
              </w:rPr>
              <w:t>33.3%</w:t>
            </w:r>
          </w:p>
        </w:tc>
        <w:tc>
          <w:tcPr>
            <w:tcW w:type="dxa" w:w="1728"/>
            <w:tcMar>
              <w:top w:w="110" w:type="dxa"/>
              <w:start w:w="110" w:type="dxa"/>
              <w:bottom w:w="110" w:type="dxa"/>
              <w:end w:w="110" w:type="dxa"/>
            </w:tcMar>
            <w:vAlign w:val="center"/>
          </w:tcPr>
          <w:p>
            <w:pPr>
              <w:spacing w:after="0"/>
            </w:pPr>
            <w:r>
              <w:rPr>
                <w:rFonts w:ascii="Aptos" w:hAnsi="Aptos"/>
                <w:color w:val="232D37"/>
                <w:sz w:val="16"/>
              </w:rPr>
              <w:t>33.3%</w:t>
            </w:r>
          </w:p>
        </w:tc>
        <w:tc>
          <w:tcPr>
            <w:tcW w:type="dxa" w:w="1728"/>
            <w:tcMar>
              <w:top w:w="110" w:type="dxa"/>
              <w:start w:w="110" w:type="dxa"/>
              <w:bottom w:w="110" w:type="dxa"/>
              <w:end w:w="110" w:type="dxa"/>
            </w:tcMar>
            <w:vAlign w:val="center"/>
          </w:tcPr>
          <w:p>
            <w:pPr>
              <w:spacing w:after="0"/>
            </w:pPr>
            <w:r>
              <w:rPr>
                <w:rFonts w:ascii="Aptos" w:hAnsi="Aptos"/>
                <w:color w:val="232D37"/>
                <w:sz w:val="16"/>
              </w:rPr>
              <w:t>33.3%</w:t>
            </w:r>
          </w:p>
        </w:tc>
      </w:tr>
      <w:tr>
        <w:tc>
          <w:tcPr>
            <w:tcW w:type="dxa" w:w="4032"/>
            <w:tcMar>
              <w:top w:w="110" w:type="dxa"/>
              <w:start w:w="110" w:type="dxa"/>
              <w:bottom w:w="110" w:type="dxa"/>
              <w:end w:w="110" w:type="dxa"/>
            </w:tcMar>
            <w:vAlign w:val="center"/>
            <w:shd w:fill="F4F7FA"/>
          </w:tcPr>
          <w:p>
            <w:pPr>
              <w:spacing w:after="0"/>
            </w:pPr>
            <w:r>
              <w:rPr>
                <w:rFonts w:ascii="Aptos" w:hAnsi="Aptos"/>
                <w:color w:val="232D37"/>
                <w:sz w:val="16"/>
              </w:rPr>
              <w:t>Pilot-to-client</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50.0%</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33.3%</w:t>
            </w:r>
          </w:p>
        </w:tc>
        <w:tc>
          <w:tcPr>
            <w:tcW w:type="dxa" w:w="1728"/>
            <w:tcMar>
              <w:top w:w="110" w:type="dxa"/>
              <w:start w:w="110" w:type="dxa"/>
              <w:bottom w:w="110" w:type="dxa"/>
              <w:end w:w="110" w:type="dxa"/>
            </w:tcMar>
            <w:vAlign w:val="center"/>
            <w:shd w:fill="F4F7FA"/>
          </w:tcPr>
          <w:p>
            <w:pPr>
              <w:spacing w:after="0"/>
            </w:pPr>
            <w:r>
              <w:rPr>
                <w:rFonts w:ascii="Aptos" w:hAnsi="Aptos"/>
                <w:color w:val="232D37"/>
                <w:sz w:val="16"/>
              </w:rPr>
              <w:t>33.3%</w:t>
            </w:r>
          </w:p>
        </w:tc>
      </w:tr>
      <w:tr>
        <w:tc>
          <w:tcPr>
            <w:tcW w:type="dxa" w:w="4032"/>
            <w:tcMar>
              <w:top w:w="110" w:type="dxa"/>
              <w:start w:w="110" w:type="dxa"/>
              <w:bottom w:w="110" w:type="dxa"/>
              <w:end w:w="110" w:type="dxa"/>
            </w:tcMar>
            <w:vAlign w:val="center"/>
          </w:tcPr>
          <w:p>
            <w:pPr>
              <w:spacing w:after="0"/>
            </w:pPr>
            <w:r>
              <w:rPr>
                <w:rFonts w:ascii="Aptos" w:hAnsi="Aptos"/>
                <w:color w:val="232D37"/>
                <w:sz w:val="16"/>
              </w:rPr>
              <w:t>Sales spend per new client</w:t>
            </w:r>
          </w:p>
        </w:tc>
        <w:tc>
          <w:tcPr>
            <w:tcW w:type="dxa" w:w="1728"/>
            <w:tcMar>
              <w:top w:w="110" w:type="dxa"/>
              <w:start w:w="110" w:type="dxa"/>
              <w:bottom w:w="110" w:type="dxa"/>
              <w:end w:w="110" w:type="dxa"/>
            </w:tcMar>
            <w:vAlign w:val="center"/>
          </w:tcPr>
          <w:p>
            <w:pPr>
              <w:spacing w:after="0"/>
            </w:pPr>
            <w:r>
              <w:rPr>
                <w:rFonts w:ascii="Aptos" w:hAnsi="Aptos"/>
                <w:color w:val="232D37"/>
                <w:sz w:val="16"/>
              </w:rPr>
              <w:t>$16,667</w:t>
            </w:r>
          </w:p>
        </w:tc>
        <w:tc>
          <w:tcPr>
            <w:tcW w:type="dxa" w:w="1728"/>
            <w:tcMar>
              <w:top w:w="110" w:type="dxa"/>
              <w:start w:w="110" w:type="dxa"/>
              <w:bottom w:w="110" w:type="dxa"/>
              <w:end w:w="110" w:type="dxa"/>
            </w:tcMar>
            <w:vAlign w:val="center"/>
          </w:tcPr>
          <w:p>
            <w:pPr>
              <w:spacing w:after="0"/>
            </w:pPr>
            <w:r>
              <w:rPr>
                <w:rFonts w:ascii="Aptos" w:hAnsi="Aptos"/>
                <w:color w:val="232D37"/>
                <w:sz w:val="16"/>
              </w:rPr>
              <w:t>$55,000</w:t>
            </w:r>
          </w:p>
        </w:tc>
        <w:tc>
          <w:tcPr>
            <w:tcW w:type="dxa" w:w="1728"/>
            <w:tcMar>
              <w:top w:w="110" w:type="dxa"/>
              <w:start w:w="110" w:type="dxa"/>
              <w:bottom w:w="110" w:type="dxa"/>
              <w:end w:w="110" w:type="dxa"/>
            </w:tcMar>
            <w:vAlign w:val="center"/>
          </w:tcPr>
          <w:p>
            <w:pPr>
              <w:spacing w:after="0"/>
            </w:pPr>
            <w:r>
              <w:rPr>
                <w:rFonts w:ascii="Aptos" w:hAnsi="Aptos"/>
                <w:color w:val="232D37"/>
                <w:sz w:val="16"/>
              </w:rPr>
              <w:t>$60,500</w:t>
            </w:r>
          </w:p>
        </w:tc>
      </w:tr>
    </w:tbl>
    <w:p>
      <w:pPr>
        <w:spacing w:after="20"/>
      </w:pPr>
    </w:p>
    <w:p>
      <w:r>
        <w:t>These funnel counts are analytical assumptions, not existing pipeline evidence. Before investor use, management should reconcile them to CRM exports, dated proposals, pilot budgets, LOIs/MOUs, definitive contracts, responsible sales owners, expected closing dates, and probability-weighted values.</w:t>
      </w:r>
    </w:p>
    <w:p>
      <w:pPr>
        <w:pStyle w:val="Heading2"/>
      </w:pPr>
      <w:r>
        <w:t>4.1 Revenue recognition</w:t>
      </w:r>
    </w:p>
    <w:p>
      <w:r>
        <w:t>Monthly forecast billing does not establish U.S. GAAP revenue recognition. Each retainer, commission, pilot, setup fee, implementation milestone, variable-payment feature, renewal, cancellation right, and performance obligation must be evaluated under ASC 606. The final accounting may recognize revenue over time, at a point in time, or defer amounts relative to forecast billing.</w:t>
      </w:r>
    </w:p>
    <w:p>
      <w:pPr>
        <w:pStyle w:val="Heading1"/>
      </w:pPr>
      <w:r>
        <w:t>5. Profitability, Cash Flow, and Capital Efficiency</w:t>
      </w:r>
    </w:p>
    <w:p>
      <w:r>
        <w:t>Version 4 generates approximately $2.03 million of 2027 gross revenue, $394,940 of operating income, and $156,018 of net income after full cash/PIK interest and the modeled tax provision. Gross revenue then increases to approximately $3.69 million in 2028 and $5.07 million in 2029 as ending clients rise to 24 and 30.</w:t>
      </w:r>
    </w:p>
    <w:p>
      <w:pPr>
        <w:pStyle w:val="ListBullet"/>
      </w:pPr>
      <w:r>
        <w:t>Cash interest is lower than Version 2 because only the 4% component is paid quarterly.</w:t>
      </w:r>
    </w:p>
    <w:p>
      <w:pPr>
        <w:pStyle w:val="ListBullet"/>
      </w:pPr>
      <w:r>
        <w:t>PIK preserves operating cash but increases the amount owed or converted at maturity.</w:t>
      </w:r>
    </w:p>
    <w:p>
      <w:pPr>
        <w:pStyle w:val="ListBullet"/>
      </w:pPr>
      <w:r>
        <w:t>Operating cash flow excluding financing remains separately visible in the spreadsheet.</w:t>
      </w:r>
    </w:p>
    <w:p>
      <w:pPr>
        <w:pStyle w:val="ListBullet"/>
      </w:pPr>
      <w:r>
        <w:t>Ending cash remains substantial; management should justify it through staged commitments, downside runway, acquisition capacity, and board-controlled deployment—not generic contingency language.</w:t>
      </w:r>
    </w:p>
    <w:p>
      <w:pPr>
        <w:pStyle w:val="Heading2"/>
      </w:pPr>
      <w:r>
        <w:t>5.1 Break-even</w:t>
      </w:r>
    </w:p>
    <w:p>
      <w:r>
        <w:t>At the post-July category mix, twelve equivalent clients generate $147,000 of gross monthly revenue and approximately a 77.2% contribution margin after bad debt and differentiated direct costs. With the staged 2027 monthly fixed operating budget of approximately $98,300, indicative gross-revenue break-even is approximately $127,400, or about 10.4 equivalent clients. The Base Case exceeds this level as the client ramp matures.</w:t>
      </w:r>
    </w:p>
    <w:p>
      <w:pPr>
        <w:pStyle w:val="Heading1"/>
      </w:pPr>
      <w:r>
        <w:t>6. Tax Stress Test — Section 163(j)</w:t>
      </w:r>
    </w:p>
    <w:p>
      <w:r>
        <w:t>Version 4 retains the simplified stress case limiting current deductible business interest to 30% of modeled adjusted taxable income when the toggle is active. The model produces no current tax provision in 2026, approximately $71,879 in 2027, $331,978 in 2028, and $575,866 in 2029 under that simplified convention.</w:t>
      </w:r>
    </w:p>
    <w:tbl>
      <w:tblPr>
        <w:tblW w:type="auto" w:w="0"/>
        <w:tblLook w:firstColumn="1" w:firstRow="1" w:lastColumn="0" w:lastRow="0" w:noHBand="0" w:noVBand="1" w:val="04A0"/>
      </w:tblPr>
      <w:tblGrid>
        <w:gridCol w:w="10166"/>
      </w:tblGrid>
      <w:tr>
        <w:tc>
          <w:tcPr>
            <w:tcW w:type="dxa" w:w="10166"/>
            <w:shd w:fill="FFF4E5"/>
            <w:tcMar>
              <w:top w:w="170" w:type="dxa"/>
              <w:start w:w="170" w:type="dxa"/>
              <w:bottom w:w="170" w:type="dxa"/>
              <w:end w:w="170" w:type="dxa"/>
            </w:tcMar>
          </w:tcPr>
          <w:p>
            <w:pPr>
              <w:spacing w:after="0"/>
            </w:pPr>
            <w:r>
              <w:rPr>
                <w:b/>
                <w:color w:val="16324F"/>
                <w:sz w:val="18"/>
              </w:rPr>
              <w:t>This is not a tax conclusion. Certain small businesses may be exempt, and the legal entity, gross-receipts test, ATI adjustments, PIK/OID treatment, carryforwards, state taxes, and estimated-payment rules require tax-adviser review.</w:t>
            </w:r>
          </w:p>
        </w:tc>
      </w:tr>
    </w:tbl>
    <w:p>
      <w:pPr>
        <w:spacing w:after="20"/>
      </w:pPr>
    </w:p>
    <w:p>
      <w:r>
        <w:t>IRS source: https://www.irs.gov/newsroom/questions-and-answers-about-the-limitation-on-the-deduction-for-business-interest-expense</w:t>
      </w:r>
    </w:p>
    <w:p>
      <w:pPr>
        <w:pStyle w:val="Heading1"/>
      </w:pPr>
      <w:r>
        <w:t>7. Offering and Accounting Compliance Roadmap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B7F79"/>
            <w:tcMar>
              <w:top w:w="110" w:type="dxa"/>
              <w:start w:w="110" w:type="dxa"/>
              <w:bottom w:w="110" w:type="dxa"/>
              <w:end w:w="110" w:type="dxa"/>
            </w:tcMar>
            <w:vAlign w:val="center"/>
          </w:tcPr>
          <w:p>
            <w:r>
              <w:rPr>
                <w:b/>
                <w:color w:val="FFFFFF"/>
                <w:sz w:val="16"/>
              </w:rPr>
              <w:t>Area</w:t>
            </w:r>
          </w:p>
        </w:tc>
        <w:tc>
          <w:tcPr>
            <w:tcW w:type="dxa" w:w="4536"/>
            <w:shd w:fill="1B7F79"/>
            <w:tcMar>
              <w:top w:w="110" w:type="dxa"/>
              <w:start w:w="110" w:type="dxa"/>
              <w:bottom w:w="110" w:type="dxa"/>
              <w:end w:w="110" w:type="dxa"/>
            </w:tcMar>
            <w:vAlign w:val="center"/>
          </w:tcPr>
          <w:p>
            <w:r>
              <w:rPr>
                <w:b/>
                <w:color w:val="FFFFFF"/>
                <w:sz w:val="16"/>
              </w:rPr>
              <w:t>Version 4 disclosure</w:t>
            </w:r>
          </w:p>
        </w:tc>
        <w:tc>
          <w:tcPr>
            <w:tcW w:type="dxa" w:w="3744"/>
            <w:shd w:fill="1B7F79"/>
            <w:tcMar>
              <w:top w:w="110" w:type="dxa"/>
              <w:start w:w="110" w:type="dxa"/>
              <w:bottom w:w="110" w:type="dxa"/>
              <w:end w:w="110" w:type="dxa"/>
            </w:tcMar>
            <w:vAlign w:val="center"/>
          </w:tcPr>
          <w:p>
            <w:r>
              <w:rPr>
                <w:b/>
                <w:color w:val="FFFFFF"/>
                <w:sz w:val="16"/>
              </w:rPr>
              <w:t>Required owner/action</w:t>
            </w:r>
          </w:p>
        </w:tc>
      </w:tr>
      <w:tr>
        <w:tc>
          <w:tcPr>
            <w:tcW w:type="dxa" w:w="2016"/>
            <w:tcMar>
              <w:top w:w="110" w:type="dxa"/>
              <w:start w:w="110" w:type="dxa"/>
              <w:bottom w:w="110" w:type="dxa"/>
              <w:end w:w="110" w:type="dxa"/>
            </w:tcMar>
            <w:vAlign w:val="center"/>
          </w:tcPr>
          <w:p>
            <w:pPr>
              <w:spacing w:after="0"/>
            </w:pPr>
            <w:r>
              <w:rPr>
                <w:rFonts w:ascii="Aptos" w:hAnsi="Aptos"/>
                <w:color w:val="232D37"/>
                <w:sz w:val="16"/>
              </w:rPr>
              <w:t>Rule 506(c)</w:t>
            </w:r>
          </w:p>
        </w:tc>
        <w:tc>
          <w:tcPr>
            <w:tcW w:type="dxa" w:w="4536"/>
            <w:tcMar>
              <w:top w:w="110" w:type="dxa"/>
              <w:start w:w="110" w:type="dxa"/>
              <w:bottom w:w="110" w:type="dxa"/>
              <w:end w:w="110" w:type="dxa"/>
            </w:tcMar>
            <w:vAlign w:val="center"/>
          </w:tcPr>
          <w:p>
            <w:pPr>
              <w:spacing w:after="0"/>
            </w:pPr>
            <w:r>
              <w:rPr>
                <w:rFonts w:ascii="Aptos" w:hAnsi="Aptos"/>
                <w:color w:val="232D37"/>
                <w:sz w:val="16"/>
              </w:rPr>
              <w:t>Working exemption only; all purchasers must be accredited and the issuer must take reasonable verification steps</w:t>
            </w:r>
          </w:p>
        </w:tc>
        <w:tc>
          <w:tcPr>
            <w:tcW w:type="dxa" w:w="3744"/>
            <w:tcMar>
              <w:top w:w="110" w:type="dxa"/>
              <w:start w:w="110" w:type="dxa"/>
              <w:bottom w:w="110" w:type="dxa"/>
              <w:end w:w="110" w:type="dxa"/>
            </w:tcMar>
            <w:vAlign w:val="center"/>
          </w:tcPr>
          <w:p>
            <w:pPr>
              <w:spacing w:after="0"/>
            </w:pPr>
            <w:r>
              <w:rPr>
                <w:rFonts w:ascii="Aptos" w:hAnsi="Aptos"/>
                <w:color w:val="232D37"/>
                <w:sz w:val="16"/>
              </w:rPr>
              <w:t>Securities counsel to approve exemption and verification process</w:t>
            </w:r>
          </w:p>
        </w:tc>
      </w:tr>
      <w:tr>
        <w:tc>
          <w:tcPr>
            <w:tcW w:type="dxa" w:w="2016"/>
            <w:tcMar>
              <w:top w:w="110" w:type="dxa"/>
              <w:start w:w="110" w:type="dxa"/>
              <w:bottom w:w="110" w:type="dxa"/>
              <w:end w:w="110" w:type="dxa"/>
            </w:tcMar>
            <w:vAlign w:val="center"/>
            <w:shd w:fill="F4F7FA"/>
          </w:tcPr>
          <w:p>
            <w:pPr>
              <w:spacing w:after="0"/>
            </w:pPr>
            <w:r>
              <w:rPr>
                <w:rFonts w:ascii="Aptos" w:hAnsi="Aptos"/>
                <w:color w:val="232D37"/>
                <w:sz w:val="16"/>
              </w:rPr>
              <w:t>Form D</w:t>
            </w:r>
          </w:p>
        </w:tc>
        <w:tc>
          <w:tcPr>
            <w:tcW w:type="dxa" w:w="4536"/>
            <w:tcMar>
              <w:top w:w="110" w:type="dxa"/>
              <w:start w:w="110" w:type="dxa"/>
              <w:bottom w:w="110" w:type="dxa"/>
              <w:end w:w="110" w:type="dxa"/>
            </w:tcMar>
            <w:vAlign w:val="center"/>
            <w:shd w:fill="F4F7FA"/>
          </w:tcPr>
          <w:p>
            <w:pPr>
              <w:spacing w:after="0"/>
            </w:pPr>
            <w:r>
              <w:rPr>
                <w:rFonts w:ascii="Aptos" w:hAnsi="Aptos"/>
                <w:color w:val="232D37"/>
                <w:sz w:val="16"/>
              </w:rPr>
              <w:t>Generally due within 15 days after first sale; no filing is represented as completed</w:t>
            </w:r>
          </w:p>
        </w:tc>
        <w:tc>
          <w:tcPr>
            <w:tcW w:type="dxa" w:w="3744"/>
            <w:tcMar>
              <w:top w:w="110" w:type="dxa"/>
              <w:start w:w="110" w:type="dxa"/>
              <w:bottom w:w="110" w:type="dxa"/>
              <w:end w:w="110" w:type="dxa"/>
            </w:tcMar>
            <w:vAlign w:val="center"/>
            <w:shd w:fill="F4F7FA"/>
          </w:tcPr>
          <w:p>
            <w:pPr>
              <w:spacing w:after="0"/>
            </w:pPr>
            <w:r>
              <w:rPr>
                <w:rFonts w:ascii="Aptos" w:hAnsi="Aptos"/>
                <w:color w:val="232D37"/>
                <w:sz w:val="16"/>
              </w:rPr>
              <w:t>Counsel to control EDGAR and state notice calendar</w:t>
            </w:r>
          </w:p>
        </w:tc>
      </w:tr>
      <w:tr>
        <w:tc>
          <w:tcPr>
            <w:tcW w:type="dxa" w:w="2016"/>
            <w:tcMar>
              <w:top w:w="110" w:type="dxa"/>
              <w:start w:w="110" w:type="dxa"/>
              <w:bottom w:w="110" w:type="dxa"/>
              <w:end w:w="110" w:type="dxa"/>
            </w:tcMar>
            <w:vAlign w:val="center"/>
          </w:tcPr>
          <w:p>
            <w:pPr>
              <w:spacing w:after="0"/>
            </w:pPr>
            <w:r>
              <w:rPr>
                <w:rFonts w:ascii="Aptos" w:hAnsi="Aptos"/>
                <w:color w:val="232D37"/>
                <w:sz w:val="16"/>
              </w:rPr>
              <w:t>PPM package</w:t>
            </w:r>
          </w:p>
        </w:tc>
        <w:tc>
          <w:tcPr>
            <w:tcW w:type="dxa" w:w="4536"/>
            <w:tcMar>
              <w:top w:w="110" w:type="dxa"/>
              <w:start w:w="110" w:type="dxa"/>
              <w:bottom w:w="110" w:type="dxa"/>
              <w:end w:w="110" w:type="dxa"/>
            </w:tcMar>
            <w:vAlign w:val="center"/>
          </w:tcPr>
          <w:p>
            <w:pPr>
              <w:spacing w:after="0"/>
            </w:pPr>
            <w:r>
              <w:rPr>
                <w:rFonts w:ascii="Aptos" w:hAnsi="Aptos"/>
                <w:color w:val="232D37"/>
                <w:sz w:val="16"/>
              </w:rPr>
              <w:t>This memorandum is not a PPM and must not be distributed alone</w:t>
            </w:r>
          </w:p>
        </w:tc>
        <w:tc>
          <w:tcPr>
            <w:tcW w:type="dxa" w:w="3744"/>
            <w:tcMar>
              <w:top w:w="110" w:type="dxa"/>
              <w:start w:w="110" w:type="dxa"/>
              <w:bottom w:w="110" w:type="dxa"/>
              <w:end w:w="110" w:type="dxa"/>
            </w:tcMar>
            <w:vAlign w:val="center"/>
          </w:tcPr>
          <w:p>
            <w:pPr>
              <w:spacing w:after="0"/>
            </w:pPr>
            <w:r>
              <w:rPr>
                <w:rFonts w:ascii="Aptos" w:hAnsi="Aptos"/>
                <w:color w:val="232D37"/>
                <w:sz w:val="16"/>
              </w:rPr>
              <w:t>Prepare PPM, subscription agreement, note, legends and risk factors</w:t>
            </w:r>
          </w:p>
        </w:tc>
      </w:tr>
      <w:tr>
        <w:tc>
          <w:tcPr>
            <w:tcW w:type="dxa" w:w="2016"/>
            <w:tcMar>
              <w:top w:w="110" w:type="dxa"/>
              <w:start w:w="110" w:type="dxa"/>
              <w:bottom w:w="110" w:type="dxa"/>
              <w:end w:w="110" w:type="dxa"/>
            </w:tcMar>
            <w:vAlign w:val="center"/>
            <w:shd w:fill="F4F7FA"/>
          </w:tcPr>
          <w:p>
            <w:pPr>
              <w:spacing w:after="0"/>
            </w:pPr>
            <w:r>
              <w:rPr>
                <w:rFonts w:ascii="Aptos" w:hAnsi="Aptos"/>
                <w:color w:val="232D37"/>
                <w:sz w:val="16"/>
              </w:rPr>
              <w:t>ASC 606</w:t>
            </w:r>
          </w:p>
        </w:tc>
        <w:tc>
          <w:tcPr>
            <w:tcW w:type="dxa" w:w="4536"/>
            <w:tcMar>
              <w:top w:w="110" w:type="dxa"/>
              <w:start w:w="110" w:type="dxa"/>
              <w:bottom w:w="110" w:type="dxa"/>
              <w:end w:w="110" w:type="dxa"/>
            </w:tcMar>
            <w:vAlign w:val="center"/>
            <w:shd w:fill="F4F7FA"/>
          </w:tcPr>
          <w:p>
            <w:pPr>
              <w:spacing w:after="0"/>
            </w:pPr>
            <w:r>
              <w:rPr>
                <w:rFonts w:ascii="Aptos" w:hAnsi="Aptos"/>
                <w:color w:val="232D37"/>
                <w:sz w:val="16"/>
              </w:rPr>
              <w:t>Revenue schedule is planning-only</w:t>
            </w:r>
          </w:p>
        </w:tc>
        <w:tc>
          <w:tcPr>
            <w:tcW w:type="dxa" w:w="3744"/>
            <w:tcMar>
              <w:top w:w="110" w:type="dxa"/>
              <w:start w:w="110" w:type="dxa"/>
              <w:bottom w:w="110" w:type="dxa"/>
              <w:end w:w="110" w:type="dxa"/>
            </w:tcMar>
            <w:vAlign w:val="center"/>
            <w:shd w:fill="F4F7FA"/>
          </w:tcPr>
          <w:p>
            <w:pPr>
              <w:spacing w:after="0"/>
            </w:pPr>
            <w:r>
              <w:rPr>
                <w:rFonts w:ascii="Aptos" w:hAnsi="Aptos"/>
                <w:color w:val="232D37"/>
                <w:sz w:val="16"/>
              </w:rPr>
              <w:t>Accounting adviser to evaluate executed customer contracts</w:t>
            </w:r>
          </w:p>
        </w:tc>
      </w:tr>
      <w:tr>
        <w:tc>
          <w:tcPr>
            <w:tcW w:type="dxa" w:w="2016"/>
            <w:tcMar>
              <w:top w:w="110" w:type="dxa"/>
              <w:start w:w="110" w:type="dxa"/>
              <w:bottom w:w="110" w:type="dxa"/>
              <w:end w:w="110" w:type="dxa"/>
            </w:tcMar>
            <w:vAlign w:val="center"/>
          </w:tcPr>
          <w:p>
            <w:pPr>
              <w:spacing w:after="0"/>
            </w:pPr>
            <w:r>
              <w:rPr>
                <w:rFonts w:ascii="Aptos" w:hAnsi="Aptos"/>
                <w:color w:val="232D37"/>
                <w:sz w:val="16"/>
              </w:rPr>
              <w:t>Convertible accounting</w:t>
            </w:r>
          </w:p>
        </w:tc>
        <w:tc>
          <w:tcPr>
            <w:tcW w:type="dxa" w:w="4536"/>
            <w:tcMar>
              <w:top w:w="110" w:type="dxa"/>
              <w:start w:w="110" w:type="dxa"/>
              <w:bottom w:w="110" w:type="dxa"/>
              <w:end w:w="110" w:type="dxa"/>
            </w:tcMar>
            <w:vAlign w:val="center"/>
          </w:tcPr>
          <w:p>
            <w:pPr>
              <w:spacing w:after="0"/>
            </w:pPr>
            <w:r>
              <w:rPr>
                <w:rFonts w:ascii="Aptos" w:hAnsi="Aptos"/>
                <w:color w:val="232D37"/>
                <w:sz w:val="16"/>
              </w:rPr>
              <w:t>Cash/PIK debt is modeled; no derivative liability or issuance-cost amortization is recorded</w:t>
            </w:r>
          </w:p>
        </w:tc>
        <w:tc>
          <w:tcPr>
            <w:tcW w:type="dxa" w:w="3744"/>
            <w:tcMar>
              <w:top w:w="110" w:type="dxa"/>
              <w:start w:w="110" w:type="dxa"/>
              <w:bottom w:w="110" w:type="dxa"/>
              <w:end w:w="110" w:type="dxa"/>
            </w:tcMar>
            <w:vAlign w:val="center"/>
          </w:tcPr>
          <w:p>
            <w:pPr>
              <w:spacing w:after="0"/>
            </w:pPr>
            <w:r>
              <w:rPr>
                <w:rFonts w:ascii="Aptos" w:hAnsi="Aptos"/>
                <w:color w:val="232D37"/>
                <w:sz w:val="16"/>
              </w:rPr>
              <w:t>Accounting adviser to evaluate ASC 470/480/815 and effective interest</w:t>
            </w:r>
          </w:p>
        </w:tc>
      </w:tr>
      <w:tr>
        <w:tc>
          <w:tcPr>
            <w:tcW w:type="dxa" w:w="2016"/>
            <w:tcMar>
              <w:top w:w="110" w:type="dxa"/>
              <w:start w:w="110" w:type="dxa"/>
              <w:bottom w:w="110" w:type="dxa"/>
              <w:end w:w="110" w:type="dxa"/>
            </w:tcMar>
            <w:vAlign w:val="center"/>
            <w:shd w:fill="F4F7FA"/>
          </w:tcPr>
          <w:p>
            <w:pPr>
              <w:spacing w:after="0"/>
            </w:pPr>
            <w:r>
              <w:rPr>
                <w:rFonts w:ascii="Aptos" w:hAnsi="Aptos"/>
                <w:color w:val="232D37"/>
                <w:sz w:val="16"/>
              </w:rPr>
              <w:t>Data room</w:t>
            </w:r>
          </w:p>
        </w:tc>
        <w:tc>
          <w:tcPr>
            <w:tcW w:type="dxa" w:w="4536"/>
            <w:tcMar>
              <w:top w:w="110" w:type="dxa"/>
              <w:start w:w="110" w:type="dxa"/>
              <w:bottom w:w="110" w:type="dxa"/>
              <w:end w:w="110" w:type="dxa"/>
            </w:tcMar>
            <w:vAlign w:val="center"/>
            <w:shd w:fill="F4F7FA"/>
          </w:tcPr>
          <w:p>
            <w:pPr>
              <w:spacing w:after="0"/>
            </w:pPr>
            <w:r>
              <w:rPr>
                <w:rFonts w:ascii="Aptos" w:hAnsi="Aptos"/>
                <w:color w:val="232D37"/>
                <w:sz w:val="16"/>
              </w:rPr>
              <w:t>Funnel assumptions are not evidence</w:t>
            </w:r>
          </w:p>
        </w:tc>
        <w:tc>
          <w:tcPr>
            <w:tcW w:type="dxa" w:w="3744"/>
            <w:tcMar>
              <w:top w:w="110" w:type="dxa"/>
              <w:start w:w="110" w:type="dxa"/>
              <w:bottom w:w="110" w:type="dxa"/>
              <w:end w:w="110" w:type="dxa"/>
            </w:tcMar>
            <w:vAlign w:val="center"/>
            <w:shd w:fill="F4F7FA"/>
          </w:tcPr>
          <w:p>
            <w:pPr>
              <w:spacing w:after="0"/>
            </w:pPr>
            <w:r>
              <w:rPr>
                <w:rFonts w:ascii="Aptos" w:hAnsi="Aptos"/>
                <w:color w:val="232D37"/>
                <w:sz w:val="16"/>
              </w:rPr>
              <w:t>Management to assemble CRM support, LOIs/MOUs, contracts, budgets and approvals</w:t>
            </w:r>
          </w:p>
        </w:tc>
      </w:tr>
    </w:tbl>
    <w:p>
      <w:pPr>
        <w:spacing w:after="20"/>
      </w:pPr>
    </w:p>
    <w:p>
      <w:r>
        <w:t>SEC sources: https://www.sec.gov/resources-small-businesses/exempt-offerings/general-solicitation-rule-506c ; https://www.sec.gov/resources-small-businesses/capital-raising-building-blocks/assessing-accredited-investors-under-regulation-d ; https://www.sec.gov/resources-small-businesses/capital-raising-building-blocks/what-form-d</w:t>
      </w:r>
    </w:p>
    <w:p>
      <w:r>
        <w:t>FASB sources: https://storage.fasb.org/Rev_Rec_Implementation_QAs.pdf ; https://storage.fasb.org/ASU_2020-06.pdf</w:t>
      </w:r>
    </w:p>
    <w:p>
      <w:pPr>
        <w:pStyle w:val="Heading1"/>
      </w:pPr>
      <w:r>
        <w:t>8. Required Documents and Governance Before Launch</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24"/>
            <w:shd w:fill="1B7F79"/>
            <w:tcMar>
              <w:top w:w="110" w:type="dxa"/>
              <w:start w:w="110" w:type="dxa"/>
              <w:bottom w:w="110" w:type="dxa"/>
              <w:end w:w="110" w:type="dxa"/>
            </w:tcMar>
            <w:vAlign w:val="center"/>
          </w:tcPr>
          <w:p>
            <w:r>
              <w:rPr>
                <w:b/>
                <w:color w:val="FFFFFF"/>
                <w:sz w:val="16"/>
              </w:rPr>
              <w:t>Phase</w:t>
            </w:r>
          </w:p>
        </w:tc>
        <w:tc>
          <w:tcPr>
            <w:tcW w:type="dxa" w:w="4824"/>
            <w:shd w:fill="1B7F79"/>
            <w:tcMar>
              <w:top w:w="110" w:type="dxa"/>
              <w:start w:w="110" w:type="dxa"/>
              <w:bottom w:w="110" w:type="dxa"/>
              <w:end w:w="110" w:type="dxa"/>
            </w:tcMar>
            <w:vAlign w:val="center"/>
          </w:tcPr>
          <w:p>
            <w:r>
              <w:rPr>
                <w:b/>
                <w:color w:val="FFFFFF"/>
                <w:sz w:val="16"/>
              </w:rPr>
              <w:t>Action</w:t>
            </w:r>
          </w:p>
        </w:tc>
        <w:tc>
          <w:tcPr>
            <w:tcW w:type="dxa" w:w="2232"/>
            <w:shd w:fill="1B7F79"/>
            <w:tcMar>
              <w:top w:w="110" w:type="dxa"/>
              <w:start w:w="110" w:type="dxa"/>
              <w:bottom w:w="110" w:type="dxa"/>
              <w:end w:w="110" w:type="dxa"/>
            </w:tcMar>
            <w:vAlign w:val="center"/>
          </w:tcPr>
          <w:p>
            <w:r>
              <w:rPr>
                <w:b/>
                <w:color w:val="FFFFFF"/>
                <w:sz w:val="16"/>
              </w:rPr>
              <w:t>Responsible party</w:t>
            </w:r>
          </w:p>
        </w:tc>
        <w:tc>
          <w:tcPr>
            <w:tcW w:type="dxa" w:w="1080"/>
            <w:shd w:fill="1B7F79"/>
            <w:tcMar>
              <w:top w:w="110" w:type="dxa"/>
              <w:start w:w="110" w:type="dxa"/>
              <w:bottom w:w="110" w:type="dxa"/>
              <w:end w:w="110" w:type="dxa"/>
            </w:tcMar>
            <w:vAlign w:val="center"/>
          </w:tcPr>
          <w:p>
            <w:r>
              <w:rPr>
                <w:b/>
                <w:color w:val="FFFFFF"/>
                <w:sz w:val="16"/>
              </w:rPr>
              <w:t>Priority</w:t>
            </w:r>
          </w:p>
        </w:tc>
      </w:tr>
      <w:tr>
        <w:tc>
          <w:tcPr>
            <w:tcW w:type="dxa" w:w="1224"/>
            <w:tcMar>
              <w:top w:w="110" w:type="dxa"/>
              <w:start w:w="110" w:type="dxa"/>
              <w:bottom w:w="110" w:type="dxa"/>
              <w:end w:w="110" w:type="dxa"/>
            </w:tcMar>
            <w:vAlign w:val="center"/>
          </w:tcPr>
          <w:p>
            <w:pPr>
              <w:spacing w:after="0"/>
            </w:pPr>
            <w:r>
              <w:rPr>
                <w:rFonts w:ascii="Aptos" w:hAnsi="Aptos"/>
                <w:color w:val="232D37"/>
                <w:sz w:val="16"/>
              </w:rPr>
              <w:t>Legal</w:t>
            </w:r>
          </w:p>
        </w:tc>
        <w:tc>
          <w:tcPr>
            <w:tcW w:type="dxa" w:w="4824"/>
            <w:tcMar>
              <w:top w:w="110" w:type="dxa"/>
              <w:start w:w="110" w:type="dxa"/>
              <w:bottom w:w="110" w:type="dxa"/>
              <w:end w:w="110" w:type="dxa"/>
            </w:tcMar>
            <w:vAlign w:val="center"/>
          </w:tcPr>
          <w:p>
            <w:pPr>
              <w:spacing w:after="0"/>
            </w:pPr>
            <w:r>
              <w:rPr>
                <w:rFonts w:ascii="Aptos" w:hAnsi="Aptos"/>
                <w:color w:val="232D37"/>
                <w:sz w:val="16"/>
              </w:rPr>
              <w:t>Draft and reconcile the PPM, subscription agreement, promissory note, Rule 506(c) legends, risk factors, and state notices</w:t>
            </w:r>
          </w:p>
        </w:tc>
        <w:tc>
          <w:tcPr>
            <w:tcW w:type="dxa" w:w="2232"/>
            <w:tcMar>
              <w:top w:w="110" w:type="dxa"/>
              <w:start w:w="110" w:type="dxa"/>
              <w:bottom w:w="110" w:type="dxa"/>
              <w:end w:w="110" w:type="dxa"/>
            </w:tcMar>
            <w:vAlign w:val="center"/>
          </w:tcPr>
          <w:p>
            <w:pPr>
              <w:spacing w:after="0"/>
            </w:pPr>
            <w:r>
              <w:rPr>
                <w:rFonts w:ascii="Aptos" w:hAnsi="Aptos"/>
                <w:color w:val="232D37"/>
                <w:sz w:val="16"/>
              </w:rPr>
              <w:t>Securities counsel</w:t>
            </w:r>
          </w:p>
        </w:tc>
        <w:tc>
          <w:tcPr>
            <w:tcW w:type="dxa" w:w="1080"/>
            <w:tcMar>
              <w:top w:w="110" w:type="dxa"/>
              <w:start w:w="110" w:type="dxa"/>
              <w:bottom w:w="110" w:type="dxa"/>
              <w:end w:w="110" w:type="dxa"/>
            </w:tcMar>
            <w:vAlign w:val="center"/>
          </w:tcPr>
          <w:p>
            <w:pPr>
              <w:spacing w:after="0"/>
            </w:pPr>
            <w:r>
              <w:rPr>
                <w:rFonts w:ascii="Aptos" w:hAnsi="Aptos"/>
                <w:color w:val="232D37"/>
                <w:sz w:val="16"/>
              </w:rPr>
              <w:t>Immediate</w:t>
            </w:r>
          </w:p>
        </w:tc>
      </w:tr>
      <w:tr>
        <w:tc>
          <w:tcPr>
            <w:tcW w:type="dxa" w:w="1224"/>
            <w:tcMar>
              <w:top w:w="110" w:type="dxa"/>
              <w:start w:w="110" w:type="dxa"/>
              <w:bottom w:w="110" w:type="dxa"/>
              <w:end w:w="110" w:type="dxa"/>
            </w:tcMar>
            <w:vAlign w:val="center"/>
            <w:shd w:fill="F4F7FA"/>
          </w:tcPr>
          <w:p>
            <w:pPr>
              <w:spacing w:after="0"/>
            </w:pPr>
            <w:r>
              <w:rPr>
                <w:rFonts w:ascii="Aptos" w:hAnsi="Aptos"/>
                <w:color w:val="232D37"/>
                <w:sz w:val="16"/>
              </w:rPr>
              <w:t>Terms</w:t>
            </w:r>
          </w:p>
        </w:tc>
        <w:tc>
          <w:tcPr>
            <w:tcW w:type="dxa" w:w="4824"/>
            <w:tcMar>
              <w:top w:w="110" w:type="dxa"/>
              <w:start w:w="110" w:type="dxa"/>
              <w:bottom w:w="110" w:type="dxa"/>
              <w:end w:w="110" w:type="dxa"/>
            </w:tcMar>
            <w:vAlign w:val="center"/>
            <w:shd w:fill="F4F7FA"/>
          </w:tcPr>
          <w:p>
            <w:pPr>
              <w:spacing w:after="0"/>
            </w:pPr>
            <w:r>
              <w:rPr>
                <w:rFonts w:ascii="Aptos" w:hAnsi="Aptos"/>
                <w:color w:val="232D37"/>
                <w:sz w:val="16"/>
              </w:rPr>
              <w:t>Approve cash/PIK coupon, phase mechanics, discount, cap, financing trigger, maturity, defaults, security and subordination</w:t>
            </w:r>
          </w:p>
        </w:tc>
        <w:tc>
          <w:tcPr>
            <w:tcW w:type="dxa" w:w="2232"/>
            <w:tcMar>
              <w:top w:w="110" w:type="dxa"/>
              <w:start w:w="110" w:type="dxa"/>
              <w:bottom w:w="110" w:type="dxa"/>
              <w:end w:w="110" w:type="dxa"/>
            </w:tcMar>
            <w:vAlign w:val="center"/>
            <w:shd w:fill="F4F7FA"/>
          </w:tcPr>
          <w:p>
            <w:pPr>
              <w:spacing w:after="0"/>
            </w:pPr>
            <w:r>
              <w:rPr>
                <w:rFonts w:ascii="Aptos" w:hAnsi="Aptos"/>
                <w:color w:val="232D37"/>
                <w:sz w:val="16"/>
              </w:rPr>
              <w:t>Management and counsel</w:t>
            </w:r>
          </w:p>
        </w:tc>
        <w:tc>
          <w:tcPr>
            <w:tcW w:type="dxa" w:w="1080"/>
            <w:tcMar>
              <w:top w:w="110" w:type="dxa"/>
              <w:start w:w="110" w:type="dxa"/>
              <w:bottom w:w="110" w:type="dxa"/>
              <w:end w:w="110" w:type="dxa"/>
            </w:tcMar>
            <w:vAlign w:val="center"/>
            <w:shd w:fill="F4F7FA"/>
          </w:tcPr>
          <w:p>
            <w:pPr>
              <w:spacing w:after="0"/>
            </w:pPr>
            <w:r>
              <w:rPr>
                <w:rFonts w:ascii="Aptos" w:hAnsi="Aptos"/>
                <w:color w:val="232D37"/>
                <w:sz w:val="16"/>
              </w:rPr>
              <w:t>Immediate</w:t>
            </w:r>
          </w:p>
        </w:tc>
      </w:tr>
      <w:tr>
        <w:tc>
          <w:tcPr>
            <w:tcW w:type="dxa" w:w="1224"/>
            <w:tcMar>
              <w:top w:w="110" w:type="dxa"/>
              <w:start w:w="110" w:type="dxa"/>
              <w:bottom w:w="110" w:type="dxa"/>
              <w:end w:w="110" w:type="dxa"/>
            </w:tcMar>
            <w:vAlign w:val="center"/>
          </w:tcPr>
          <w:p>
            <w:pPr>
              <w:spacing w:after="0"/>
            </w:pPr>
            <w:r>
              <w:rPr>
                <w:rFonts w:ascii="Aptos" w:hAnsi="Aptos"/>
                <w:color w:val="232D37"/>
                <w:sz w:val="16"/>
              </w:rPr>
              <w:t>Financial</w:t>
            </w:r>
          </w:p>
        </w:tc>
        <w:tc>
          <w:tcPr>
            <w:tcW w:type="dxa" w:w="4824"/>
            <w:tcMar>
              <w:top w:w="110" w:type="dxa"/>
              <w:start w:w="110" w:type="dxa"/>
              <w:bottom w:w="110" w:type="dxa"/>
              <w:end w:w="110" w:type="dxa"/>
            </w:tcMar>
            <w:vAlign w:val="center"/>
          </w:tcPr>
          <w:p>
            <w:pPr>
              <w:spacing w:after="0"/>
            </w:pPr>
            <w:r>
              <w:rPr>
                <w:rFonts w:ascii="Aptos" w:hAnsi="Aptos"/>
                <w:color w:val="232D37"/>
                <w:sz w:val="16"/>
              </w:rPr>
              <w:t>Validate formulas, note accounting, issuance costs, derivative analysis, taxes and disclosures</w:t>
            </w:r>
          </w:p>
        </w:tc>
        <w:tc>
          <w:tcPr>
            <w:tcW w:type="dxa" w:w="2232"/>
            <w:tcMar>
              <w:top w:w="110" w:type="dxa"/>
              <w:start w:w="110" w:type="dxa"/>
              <w:bottom w:w="110" w:type="dxa"/>
              <w:end w:w="110" w:type="dxa"/>
            </w:tcMar>
            <w:vAlign w:val="center"/>
          </w:tcPr>
          <w:p>
            <w:pPr>
              <w:spacing w:after="0"/>
            </w:pPr>
            <w:r>
              <w:rPr>
                <w:rFonts w:ascii="Aptos" w:hAnsi="Aptos"/>
                <w:color w:val="232D37"/>
                <w:sz w:val="16"/>
              </w:rPr>
              <w:t>CPA / accounting adviser</w:t>
            </w:r>
          </w:p>
        </w:tc>
        <w:tc>
          <w:tcPr>
            <w:tcW w:type="dxa" w:w="1080"/>
            <w:tcMar>
              <w:top w:w="110" w:type="dxa"/>
              <w:start w:w="110" w:type="dxa"/>
              <w:bottom w:w="110" w:type="dxa"/>
              <w:end w:w="110" w:type="dxa"/>
            </w:tcMar>
            <w:vAlign w:val="center"/>
          </w:tcPr>
          <w:p>
            <w:pPr>
              <w:spacing w:after="0"/>
            </w:pPr>
            <w:r>
              <w:rPr>
                <w:rFonts w:ascii="Aptos" w:hAnsi="Aptos"/>
                <w:color w:val="232D37"/>
                <w:sz w:val="16"/>
              </w:rPr>
              <w:t>High</w:t>
            </w:r>
          </w:p>
        </w:tc>
      </w:tr>
      <w:tr>
        <w:tc>
          <w:tcPr>
            <w:tcW w:type="dxa" w:w="1224"/>
            <w:tcMar>
              <w:top w:w="110" w:type="dxa"/>
              <w:start w:w="110" w:type="dxa"/>
              <w:bottom w:w="110" w:type="dxa"/>
              <w:end w:w="110" w:type="dxa"/>
            </w:tcMar>
            <w:vAlign w:val="center"/>
            <w:shd w:fill="F4F7FA"/>
          </w:tcPr>
          <w:p>
            <w:pPr>
              <w:spacing w:after="0"/>
            </w:pPr>
            <w:r>
              <w:rPr>
                <w:rFonts w:ascii="Aptos" w:hAnsi="Aptos"/>
                <w:color w:val="232D37"/>
                <w:sz w:val="16"/>
              </w:rPr>
              <w:t>Sales</w:t>
            </w:r>
          </w:p>
        </w:tc>
        <w:tc>
          <w:tcPr>
            <w:tcW w:type="dxa" w:w="4824"/>
            <w:tcMar>
              <w:top w:w="110" w:type="dxa"/>
              <w:start w:w="110" w:type="dxa"/>
              <w:bottom w:w="110" w:type="dxa"/>
              <w:end w:w="110" w:type="dxa"/>
            </w:tcMar>
            <w:vAlign w:val="center"/>
            <w:shd w:fill="F4F7FA"/>
          </w:tcPr>
          <w:p>
            <w:pPr>
              <w:spacing w:after="0"/>
            </w:pPr>
            <w:r>
              <w:rPr>
                <w:rFonts w:ascii="Aptos" w:hAnsi="Aptos"/>
                <w:color w:val="232D37"/>
                <w:sz w:val="16"/>
              </w:rPr>
              <w:t>Reconcile the funnel to CRM records and define owners, dates, probabilities and evidence</w:t>
            </w:r>
          </w:p>
        </w:tc>
        <w:tc>
          <w:tcPr>
            <w:tcW w:type="dxa" w:w="2232"/>
            <w:tcMar>
              <w:top w:w="110" w:type="dxa"/>
              <w:start w:w="110" w:type="dxa"/>
              <w:bottom w:w="110" w:type="dxa"/>
              <w:end w:w="110" w:type="dxa"/>
            </w:tcMar>
            <w:vAlign w:val="center"/>
            <w:shd w:fill="F4F7FA"/>
          </w:tcPr>
          <w:p>
            <w:pPr>
              <w:spacing w:after="0"/>
            </w:pPr>
            <w:r>
              <w:rPr>
                <w:rFonts w:ascii="Aptos" w:hAnsi="Aptos"/>
                <w:color w:val="232D37"/>
                <w:sz w:val="16"/>
              </w:rPr>
              <w:t>Chief Commercial Officer</w:t>
            </w:r>
          </w:p>
        </w:tc>
        <w:tc>
          <w:tcPr>
            <w:tcW w:type="dxa" w:w="1080"/>
            <w:tcMar>
              <w:top w:w="110" w:type="dxa"/>
              <w:start w:w="110" w:type="dxa"/>
              <w:bottom w:w="110" w:type="dxa"/>
              <w:end w:w="110" w:type="dxa"/>
            </w:tcMar>
            <w:vAlign w:val="center"/>
            <w:shd w:fill="F4F7FA"/>
          </w:tcPr>
          <w:p>
            <w:pPr>
              <w:spacing w:after="0"/>
            </w:pPr>
            <w:r>
              <w:rPr>
                <w:rFonts w:ascii="Aptos" w:hAnsi="Aptos"/>
                <w:color w:val="232D37"/>
                <w:sz w:val="16"/>
              </w:rPr>
              <w:t>High</w:t>
            </w:r>
          </w:p>
        </w:tc>
      </w:tr>
      <w:tr>
        <w:tc>
          <w:tcPr>
            <w:tcW w:type="dxa" w:w="1224"/>
            <w:tcMar>
              <w:top w:w="110" w:type="dxa"/>
              <w:start w:w="110" w:type="dxa"/>
              <w:bottom w:w="110" w:type="dxa"/>
              <w:end w:w="110" w:type="dxa"/>
            </w:tcMar>
            <w:vAlign w:val="center"/>
          </w:tcPr>
          <w:p>
            <w:pPr>
              <w:spacing w:after="0"/>
            </w:pPr>
            <w:r>
              <w:rPr>
                <w:rFonts w:ascii="Aptos" w:hAnsi="Aptos"/>
                <w:color w:val="232D37"/>
                <w:sz w:val="16"/>
              </w:rPr>
              <w:t>Operations</w:t>
            </w:r>
          </w:p>
        </w:tc>
        <w:tc>
          <w:tcPr>
            <w:tcW w:type="dxa" w:w="4824"/>
            <w:tcMar>
              <w:top w:w="110" w:type="dxa"/>
              <w:start w:w="110" w:type="dxa"/>
              <w:bottom w:w="110" w:type="dxa"/>
              <w:end w:w="110" w:type="dxa"/>
            </w:tcMar>
            <w:vAlign w:val="center"/>
          </w:tcPr>
          <w:p>
            <w:pPr>
              <w:spacing w:after="0"/>
            </w:pPr>
            <w:r>
              <w:rPr>
                <w:rFonts w:ascii="Aptos" w:hAnsi="Aptos"/>
                <w:color w:val="232D37"/>
                <w:sz w:val="16"/>
              </w:rPr>
              <w:t>Approve hiring, technology, delivery-capacity and customer-success gates for 18/24/30 clients</w:t>
            </w:r>
          </w:p>
        </w:tc>
        <w:tc>
          <w:tcPr>
            <w:tcW w:type="dxa" w:w="2232"/>
            <w:tcMar>
              <w:top w:w="110" w:type="dxa"/>
              <w:start w:w="110" w:type="dxa"/>
              <w:bottom w:w="110" w:type="dxa"/>
              <w:end w:w="110" w:type="dxa"/>
            </w:tcMar>
            <w:vAlign w:val="center"/>
          </w:tcPr>
          <w:p>
            <w:pPr>
              <w:spacing w:after="0"/>
            </w:pPr>
            <w:r>
              <w:rPr>
                <w:rFonts w:ascii="Aptos" w:hAnsi="Aptos"/>
                <w:color w:val="232D37"/>
                <w:sz w:val="16"/>
              </w:rPr>
              <w:t>Management / board</w:t>
            </w:r>
          </w:p>
        </w:tc>
        <w:tc>
          <w:tcPr>
            <w:tcW w:type="dxa" w:w="1080"/>
            <w:tcMar>
              <w:top w:w="110" w:type="dxa"/>
              <w:start w:w="110" w:type="dxa"/>
              <w:bottom w:w="110" w:type="dxa"/>
              <w:end w:w="110" w:type="dxa"/>
            </w:tcMar>
            <w:vAlign w:val="center"/>
          </w:tcPr>
          <w:p>
            <w:pPr>
              <w:spacing w:after="0"/>
            </w:pPr>
            <w:r>
              <w:rPr>
                <w:rFonts w:ascii="Aptos" w:hAnsi="Aptos"/>
                <w:color w:val="232D37"/>
                <w:sz w:val="16"/>
              </w:rPr>
              <w:t>High</w:t>
            </w:r>
          </w:p>
        </w:tc>
      </w:tr>
      <w:tr>
        <w:tc>
          <w:tcPr>
            <w:tcW w:type="dxa" w:w="1224"/>
            <w:tcMar>
              <w:top w:w="110" w:type="dxa"/>
              <w:start w:w="110" w:type="dxa"/>
              <w:bottom w:w="110" w:type="dxa"/>
              <w:end w:w="110" w:type="dxa"/>
            </w:tcMar>
            <w:vAlign w:val="center"/>
            <w:shd w:fill="F4F7FA"/>
          </w:tcPr>
          <w:p>
            <w:pPr>
              <w:spacing w:after="0"/>
            </w:pPr>
            <w:r>
              <w:rPr>
                <w:rFonts w:ascii="Aptos" w:hAnsi="Aptos"/>
                <w:color w:val="232D37"/>
                <w:sz w:val="16"/>
              </w:rPr>
              <w:t>Diligence</w:t>
            </w:r>
          </w:p>
        </w:tc>
        <w:tc>
          <w:tcPr>
            <w:tcW w:type="dxa" w:w="4824"/>
            <w:tcMar>
              <w:top w:w="110" w:type="dxa"/>
              <w:start w:w="110" w:type="dxa"/>
              <w:bottom w:w="110" w:type="dxa"/>
              <w:end w:w="110" w:type="dxa"/>
            </w:tcMar>
            <w:vAlign w:val="center"/>
            <w:shd w:fill="F4F7FA"/>
          </w:tcPr>
          <w:p>
            <w:pPr>
              <w:spacing w:after="0"/>
            </w:pPr>
            <w:r>
              <w:rPr>
                <w:rFonts w:ascii="Aptos" w:hAnsi="Aptos"/>
                <w:color w:val="232D37"/>
                <w:sz w:val="16"/>
              </w:rPr>
              <w:t>Create a controlled data room containing corporate, financial, customer, IP, personnel and offering records</w:t>
            </w:r>
          </w:p>
        </w:tc>
        <w:tc>
          <w:tcPr>
            <w:tcW w:type="dxa" w:w="2232"/>
            <w:tcMar>
              <w:top w:w="110" w:type="dxa"/>
              <w:start w:w="110" w:type="dxa"/>
              <w:bottom w:w="110" w:type="dxa"/>
              <w:end w:w="110" w:type="dxa"/>
            </w:tcMar>
            <w:vAlign w:val="center"/>
            <w:shd w:fill="F4F7FA"/>
          </w:tcPr>
          <w:p>
            <w:pPr>
              <w:spacing w:after="0"/>
            </w:pPr>
            <w:r>
              <w:rPr>
                <w:rFonts w:ascii="Aptos" w:hAnsi="Aptos"/>
                <w:color w:val="232D37"/>
                <w:sz w:val="16"/>
              </w:rPr>
              <w:t>Management and counsel</w:t>
            </w:r>
          </w:p>
        </w:tc>
        <w:tc>
          <w:tcPr>
            <w:tcW w:type="dxa" w:w="1080"/>
            <w:tcMar>
              <w:top w:w="110" w:type="dxa"/>
              <w:start w:w="110" w:type="dxa"/>
              <w:bottom w:w="110" w:type="dxa"/>
              <w:end w:w="110" w:type="dxa"/>
            </w:tcMar>
            <w:vAlign w:val="center"/>
            <w:shd w:fill="F4F7FA"/>
          </w:tcPr>
          <w:p>
            <w:pPr>
              <w:spacing w:after="0"/>
            </w:pPr>
            <w:r>
              <w:rPr>
                <w:rFonts w:ascii="Aptos" w:hAnsi="Aptos"/>
                <w:color w:val="232D37"/>
                <w:sz w:val="16"/>
              </w:rPr>
              <w:t>High</w:t>
            </w:r>
          </w:p>
        </w:tc>
      </w:tr>
    </w:tbl>
    <w:p>
      <w:pPr>
        <w:spacing w:after="20"/>
      </w:pPr>
    </w:p>
    <w:p>
      <w:pPr>
        <w:pStyle w:val="Heading1"/>
      </w:pPr>
      <w:r>
        <w:t>9. Forward-Looking Statement and Limitation</w:t>
      </w:r>
    </w:p>
    <w:p>
      <w:r>
        <w:t>The projections are forward-looking management estimates, not guarantees. They depend on successful capital raising, milestone satisfaction, enterprise lead generation, conversion rates, contract execution, pricing, client retention, collectibility, delivery capacity, cost control, tax treatment, financing terms, and continued operations. SVT Nexus is pre-operating for the proposed activity and does not have historical results demonstrating achievement of the projections. Actual results may differ materially.</w:t>
      </w:r>
    </w:p>
    <w:p>
      <w:r>
        <w:t>This memorandum is internal financial support. It is not a PPM, legal opinion, tax opinion, accounting conclusion, fairness opinion, valuation opinion, or investment recommendation. No prospective investor should receive it outside a counsel-approved offering package containing complete terms and risk disclosures.</w:t>
      </w:r>
    </w:p>
    <w:p>
      <w:pPr>
        <w:pStyle w:val="Heading1"/>
      </w:pPr>
      <w:r>
        <w:t>Appendix A — Version 4 Proposed Term Register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B7F79"/>
            <w:tcMar>
              <w:top w:w="110" w:type="dxa"/>
              <w:start w:w="110" w:type="dxa"/>
              <w:bottom w:w="110" w:type="dxa"/>
              <w:end w:w="110" w:type="dxa"/>
            </w:tcMar>
            <w:vAlign w:val="center"/>
          </w:tcPr>
          <w:p>
            <w:r>
              <w:rPr>
                <w:b/>
                <w:color w:val="FFFFFF"/>
                <w:sz w:val="16"/>
              </w:rPr>
              <w:t>Term</w:t>
            </w:r>
          </w:p>
        </w:tc>
        <w:tc>
          <w:tcPr>
            <w:tcW w:type="dxa" w:w="5040"/>
            <w:shd w:fill="1B7F79"/>
            <w:tcMar>
              <w:top w:w="110" w:type="dxa"/>
              <w:start w:w="110" w:type="dxa"/>
              <w:bottom w:w="110" w:type="dxa"/>
              <w:end w:w="110" w:type="dxa"/>
            </w:tcMar>
            <w:vAlign w:val="center"/>
          </w:tcPr>
          <w:p>
            <w:r>
              <w:rPr>
                <w:b/>
                <w:color w:val="FFFFFF"/>
                <w:sz w:val="16"/>
              </w:rPr>
              <w:t>Version 4 assumption</w:t>
            </w:r>
          </w:p>
        </w:tc>
        <w:tc>
          <w:tcPr>
            <w:tcW w:type="dxa" w:w="2016"/>
            <w:shd w:fill="1B7F79"/>
            <w:tcMar>
              <w:top w:w="110" w:type="dxa"/>
              <w:start w:w="110" w:type="dxa"/>
              <w:bottom w:w="110" w:type="dxa"/>
              <w:end w:w="110" w:type="dxa"/>
            </w:tcMar>
            <w:vAlign w:val="center"/>
          </w:tcPr>
          <w:p>
            <w:r>
              <w:rPr>
                <w:b/>
                <w:color w:val="FFFFFF"/>
                <w:sz w:val="16"/>
              </w:rPr>
              <w:t>Status</w:t>
            </w:r>
          </w:p>
        </w:tc>
      </w:tr>
      <w:tr>
        <w:tc>
          <w:tcPr>
            <w:tcW w:type="dxa" w:w="2880"/>
            <w:tcMar>
              <w:top w:w="110" w:type="dxa"/>
              <w:start w:w="110" w:type="dxa"/>
              <w:bottom w:w="110" w:type="dxa"/>
              <w:end w:w="110" w:type="dxa"/>
            </w:tcMar>
            <w:vAlign w:val="center"/>
          </w:tcPr>
          <w:p>
            <w:pPr>
              <w:spacing w:after="0"/>
            </w:pPr>
            <w:r>
              <w:rPr>
                <w:rFonts w:ascii="Aptos" w:hAnsi="Aptos"/>
                <w:color w:val="232D37"/>
                <w:sz w:val="16"/>
              </w:rPr>
              <w:t>Maximum face principal</w:t>
            </w:r>
          </w:p>
        </w:tc>
        <w:tc>
          <w:tcPr>
            <w:tcW w:type="dxa" w:w="5040"/>
            <w:tcMar>
              <w:top w:w="110" w:type="dxa"/>
              <w:start w:w="110" w:type="dxa"/>
              <w:bottom w:w="110" w:type="dxa"/>
              <w:end w:w="110" w:type="dxa"/>
            </w:tcMar>
            <w:vAlign w:val="center"/>
          </w:tcPr>
          <w:p>
            <w:pPr>
              <w:spacing w:after="0"/>
            </w:pPr>
            <w:r>
              <w:rPr>
                <w:rFonts w:ascii="Aptos" w:hAnsi="Aptos"/>
                <w:color w:val="232D37"/>
                <w:sz w:val="16"/>
              </w:rPr>
              <w:t>$3,000,000</w:t>
            </w:r>
          </w:p>
        </w:tc>
        <w:tc>
          <w:tcPr>
            <w:tcW w:type="dxa" w:w="2016"/>
            <w:tcMar>
              <w:top w:w="110" w:type="dxa"/>
              <w:start w:w="110" w:type="dxa"/>
              <w:bottom w:w="110" w:type="dxa"/>
              <w:end w:w="110" w:type="dxa"/>
            </w:tcMar>
            <w:vAlign w:val="center"/>
          </w:tcPr>
          <w:p>
            <w:pPr>
              <w:spacing w:after="0"/>
            </w:pPr>
            <w:r>
              <w:rPr>
                <w:rFonts w:ascii="Aptos" w:hAnsi="Aptos"/>
                <w:color w:val="232D37"/>
                <w:sz w:val="16"/>
              </w:rPr>
              <w:t>Proposed</w:t>
            </w:r>
          </w:p>
        </w:tc>
      </w:tr>
      <w:tr>
        <w:tc>
          <w:tcPr>
            <w:tcW w:type="dxa" w:w="2880"/>
            <w:tcMar>
              <w:top w:w="110" w:type="dxa"/>
              <w:start w:w="110" w:type="dxa"/>
              <w:bottom w:w="110" w:type="dxa"/>
              <w:end w:w="110" w:type="dxa"/>
            </w:tcMar>
            <w:vAlign w:val="center"/>
            <w:shd w:fill="F4F7FA"/>
          </w:tcPr>
          <w:p>
            <w:pPr>
              <w:spacing w:after="0"/>
            </w:pPr>
            <w:r>
              <w:rPr>
                <w:rFonts w:ascii="Aptos" w:hAnsi="Aptos"/>
                <w:color w:val="232D37"/>
                <w:sz w:val="16"/>
              </w:rPr>
              <w:t>Phase 1</w:t>
            </w:r>
          </w:p>
        </w:tc>
        <w:tc>
          <w:tcPr>
            <w:tcW w:type="dxa" w:w="5040"/>
            <w:tcMar>
              <w:top w:w="110" w:type="dxa"/>
              <w:start w:w="110" w:type="dxa"/>
              <w:bottom w:w="110" w:type="dxa"/>
              <w:end w:w="110" w:type="dxa"/>
            </w:tcMar>
            <w:vAlign w:val="center"/>
            <w:shd w:fill="F4F7FA"/>
          </w:tcPr>
          <w:p>
            <w:pPr>
              <w:spacing w:after="0"/>
            </w:pPr>
            <w:r>
              <w:rPr>
                <w:rFonts w:ascii="Aptos" w:hAnsi="Aptos"/>
                <w:color w:val="232D37"/>
                <w:sz w:val="16"/>
              </w:rPr>
              <w:t>$1,250,000</w:t>
            </w:r>
          </w:p>
        </w:tc>
        <w:tc>
          <w:tcPr>
            <w:tcW w:type="dxa" w:w="2016"/>
            <w:tcMar>
              <w:top w:w="110" w:type="dxa"/>
              <w:start w:w="110" w:type="dxa"/>
              <w:bottom w:w="110" w:type="dxa"/>
              <w:end w:w="110" w:type="dxa"/>
            </w:tcMar>
            <w:vAlign w:val="center"/>
            <w:shd w:fill="F4F7FA"/>
          </w:tcPr>
          <w:p>
            <w:pPr>
              <w:spacing w:after="0"/>
            </w:pPr>
            <w:r>
              <w:rPr>
                <w:rFonts w:ascii="Aptos" w:hAnsi="Aptos"/>
                <w:color w:val="232D37"/>
                <w:sz w:val="16"/>
              </w:rPr>
              <w:t>Proposed</w:t>
            </w:r>
          </w:p>
        </w:tc>
      </w:tr>
      <w:tr>
        <w:tc>
          <w:tcPr>
            <w:tcW w:type="dxa" w:w="2880"/>
            <w:tcMar>
              <w:top w:w="110" w:type="dxa"/>
              <w:start w:w="110" w:type="dxa"/>
              <w:bottom w:w="110" w:type="dxa"/>
              <w:end w:w="110" w:type="dxa"/>
            </w:tcMar>
            <w:vAlign w:val="center"/>
          </w:tcPr>
          <w:p>
            <w:pPr>
              <w:spacing w:after="0"/>
            </w:pPr>
            <w:r>
              <w:rPr>
                <w:rFonts w:ascii="Aptos" w:hAnsi="Aptos"/>
                <w:color w:val="232D37"/>
                <w:sz w:val="16"/>
              </w:rPr>
              <w:t>Phase 2</w:t>
            </w:r>
          </w:p>
        </w:tc>
        <w:tc>
          <w:tcPr>
            <w:tcW w:type="dxa" w:w="5040"/>
            <w:tcMar>
              <w:top w:w="110" w:type="dxa"/>
              <w:start w:w="110" w:type="dxa"/>
              <w:bottom w:w="110" w:type="dxa"/>
              <w:end w:w="110" w:type="dxa"/>
            </w:tcMar>
            <w:vAlign w:val="center"/>
          </w:tcPr>
          <w:p>
            <w:pPr>
              <w:spacing w:after="0"/>
            </w:pPr>
            <w:r>
              <w:rPr>
                <w:rFonts w:ascii="Aptos" w:hAnsi="Aptos"/>
                <w:color w:val="232D37"/>
                <w:sz w:val="16"/>
              </w:rPr>
              <w:t>$1,750,000 after $1.0M annualized revenue milestone</w:t>
            </w:r>
          </w:p>
        </w:tc>
        <w:tc>
          <w:tcPr>
            <w:tcW w:type="dxa" w:w="2016"/>
            <w:tcMar>
              <w:top w:w="110" w:type="dxa"/>
              <w:start w:w="110" w:type="dxa"/>
              <w:bottom w:w="110" w:type="dxa"/>
              <w:end w:w="110" w:type="dxa"/>
            </w:tcMar>
            <w:vAlign w:val="center"/>
          </w:tcPr>
          <w:p>
            <w:pPr>
              <w:spacing w:after="0"/>
            </w:pPr>
            <w:r>
              <w:rPr>
                <w:rFonts w:ascii="Aptos" w:hAnsi="Aptos"/>
                <w:color w:val="232D37"/>
                <w:sz w:val="16"/>
              </w:rPr>
              <w:t>Proposed</w:t>
            </w:r>
          </w:p>
        </w:tc>
      </w:tr>
      <w:tr>
        <w:tc>
          <w:tcPr>
            <w:tcW w:type="dxa" w:w="2880"/>
            <w:tcMar>
              <w:top w:w="110" w:type="dxa"/>
              <w:start w:w="110" w:type="dxa"/>
              <w:bottom w:w="110" w:type="dxa"/>
              <w:end w:w="110" w:type="dxa"/>
            </w:tcMar>
            <w:vAlign w:val="center"/>
            <w:shd w:fill="F4F7FA"/>
          </w:tcPr>
          <w:p>
            <w:pPr>
              <w:spacing w:after="0"/>
            </w:pPr>
            <w:r>
              <w:rPr>
                <w:rFonts w:ascii="Aptos" w:hAnsi="Aptos"/>
                <w:color w:val="232D37"/>
                <w:sz w:val="16"/>
              </w:rPr>
              <w:t>Cash coupon</w:t>
            </w:r>
          </w:p>
        </w:tc>
        <w:tc>
          <w:tcPr>
            <w:tcW w:type="dxa" w:w="5040"/>
            <w:tcMar>
              <w:top w:w="110" w:type="dxa"/>
              <w:start w:w="110" w:type="dxa"/>
              <w:bottom w:w="110" w:type="dxa"/>
              <w:end w:w="110" w:type="dxa"/>
            </w:tcMar>
            <w:vAlign w:val="center"/>
            <w:shd w:fill="F4F7FA"/>
          </w:tcPr>
          <w:p>
            <w:pPr>
              <w:spacing w:after="0"/>
            </w:pPr>
            <w:r>
              <w:rPr>
                <w:rFonts w:ascii="Aptos" w:hAnsi="Aptos"/>
                <w:color w:val="232D37"/>
                <w:sz w:val="16"/>
              </w:rPr>
              <w:t>4% quarterly</w:t>
            </w:r>
          </w:p>
        </w:tc>
        <w:tc>
          <w:tcPr>
            <w:tcW w:type="dxa" w:w="2016"/>
            <w:tcMar>
              <w:top w:w="110" w:type="dxa"/>
              <w:start w:w="110" w:type="dxa"/>
              <w:bottom w:w="110" w:type="dxa"/>
              <w:end w:w="110" w:type="dxa"/>
            </w:tcMar>
            <w:vAlign w:val="center"/>
            <w:shd w:fill="F4F7FA"/>
          </w:tcPr>
          <w:p>
            <w:pPr>
              <w:spacing w:after="0"/>
            </w:pPr>
            <w:r>
              <w:rPr>
                <w:rFonts w:ascii="Aptos" w:hAnsi="Aptos"/>
                <w:color w:val="232D37"/>
                <w:sz w:val="16"/>
              </w:rPr>
              <w:t>Proposed</w:t>
            </w:r>
          </w:p>
        </w:tc>
      </w:tr>
      <w:tr>
        <w:tc>
          <w:tcPr>
            <w:tcW w:type="dxa" w:w="2880"/>
            <w:tcMar>
              <w:top w:w="110" w:type="dxa"/>
              <w:start w:w="110" w:type="dxa"/>
              <w:bottom w:w="110" w:type="dxa"/>
              <w:end w:w="110" w:type="dxa"/>
            </w:tcMar>
            <w:vAlign w:val="center"/>
          </w:tcPr>
          <w:p>
            <w:pPr>
              <w:spacing w:after="0"/>
            </w:pPr>
            <w:r>
              <w:rPr>
                <w:rFonts w:ascii="Aptos" w:hAnsi="Aptos"/>
                <w:color w:val="232D37"/>
                <w:sz w:val="16"/>
              </w:rPr>
              <w:t>PIK coupon</w:t>
            </w:r>
          </w:p>
        </w:tc>
        <w:tc>
          <w:tcPr>
            <w:tcW w:type="dxa" w:w="5040"/>
            <w:tcMar>
              <w:top w:w="110" w:type="dxa"/>
              <w:start w:w="110" w:type="dxa"/>
              <w:bottom w:w="110" w:type="dxa"/>
              <w:end w:w="110" w:type="dxa"/>
            </w:tcMar>
            <w:vAlign w:val="center"/>
          </w:tcPr>
          <w:p>
            <w:pPr>
              <w:spacing w:after="0"/>
            </w:pPr>
            <w:r>
              <w:rPr>
                <w:rFonts w:ascii="Aptos" w:hAnsi="Aptos"/>
                <w:color w:val="232D37"/>
                <w:sz w:val="16"/>
              </w:rPr>
              <w:t>5% noncash accrual</w:t>
            </w:r>
          </w:p>
        </w:tc>
        <w:tc>
          <w:tcPr>
            <w:tcW w:type="dxa" w:w="2016"/>
            <w:tcMar>
              <w:top w:w="110" w:type="dxa"/>
              <w:start w:w="110" w:type="dxa"/>
              <w:bottom w:w="110" w:type="dxa"/>
              <w:end w:w="110" w:type="dxa"/>
            </w:tcMar>
            <w:vAlign w:val="center"/>
          </w:tcPr>
          <w:p>
            <w:pPr>
              <w:spacing w:after="0"/>
            </w:pPr>
            <w:r>
              <w:rPr>
                <w:rFonts w:ascii="Aptos" w:hAnsi="Aptos"/>
                <w:color w:val="232D37"/>
                <w:sz w:val="16"/>
              </w:rPr>
              <w:t>Proposed</w:t>
            </w:r>
          </w:p>
        </w:tc>
      </w:tr>
      <w:tr>
        <w:tc>
          <w:tcPr>
            <w:tcW w:type="dxa" w:w="2880"/>
            <w:tcMar>
              <w:top w:w="110" w:type="dxa"/>
              <w:start w:w="110" w:type="dxa"/>
              <w:bottom w:w="110" w:type="dxa"/>
              <w:end w:w="110" w:type="dxa"/>
            </w:tcMar>
            <w:vAlign w:val="center"/>
            <w:shd w:fill="F4F7FA"/>
          </w:tcPr>
          <w:p>
            <w:pPr>
              <w:spacing w:after="0"/>
            </w:pPr>
            <w:r>
              <w:rPr>
                <w:rFonts w:ascii="Aptos" w:hAnsi="Aptos"/>
                <w:color w:val="232D37"/>
                <w:sz w:val="16"/>
              </w:rPr>
              <w:t>Conversion discount</w:t>
            </w:r>
          </w:p>
        </w:tc>
        <w:tc>
          <w:tcPr>
            <w:tcW w:type="dxa" w:w="5040"/>
            <w:tcMar>
              <w:top w:w="110" w:type="dxa"/>
              <w:start w:w="110" w:type="dxa"/>
              <w:bottom w:w="110" w:type="dxa"/>
              <w:end w:w="110" w:type="dxa"/>
            </w:tcMar>
            <w:vAlign w:val="center"/>
            <w:shd w:fill="F4F7FA"/>
          </w:tcPr>
          <w:p>
            <w:pPr>
              <w:spacing w:after="0"/>
            </w:pPr>
            <w:r>
              <w:rPr>
                <w:rFonts w:ascii="Aptos" w:hAnsi="Aptos"/>
                <w:color w:val="232D37"/>
                <w:sz w:val="16"/>
              </w:rPr>
              <w:t>20%</w:t>
            </w:r>
          </w:p>
        </w:tc>
        <w:tc>
          <w:tcPr>
            <w:tcW w:type="dxa" w:w="2016"/>
            <w:tcMar>
              <w:top w:w="110" w:type="dxa"/>
              <w:start w:w="110" w:type="dxa"/>
              <w:bottom w:w="110" w:type="dxa"/>
              <w:end w:w="110" w:type="dxa"/>
            </w:tcMar>
            <w:vAlign w:val="center"/>
            <w:shd w:fill="F4F7FA"/>
          </w:tcPr>
          <w:p>
            <w:pPr>
              <w:spacing w:after="0"/>
            </w:pPr>
            <w:r>
              <w:rPr>
                <w:rFonts w:ascii="Aptos" w:hAnsi="Aptos"/>
                <w:color w:val="232D37"/>
                <w:sz w:val="16"/>
              </w:rPr>
              <w:t>Illustrative</w:t>
            </w:r>
          </w:p>
        </w:tc>
      </w:tr>
      <w:tr>
        <w:tc>
          <w:tcPr>
            <w:tcW w:type="dxa" w:w="2880"/>
            <w:tcMar>
              <w:top w:w="110" w:type="dxa"/>
              <w:start w:w="110" w:type="dxa"/>
              <w:bottom w:w="110" w:type="dxa"/>
              <w:end w:w="110" w:type="dxa"/>
            </w:tcMar>
            <w:vAlign w:val="center"/>
          </w:tcPr>
          <w:p>
            <w:pPr>
              <w:spacing w:after="0"/>
            </w:pPr>
            <w:r>
              <w:rPr>
                <w:rFonts w:ascii="Aptos" w:hAnsi="Aptos"/>
                <w:color w:val="232D37"/>
                <w:sz w:val="16"/>
              </w:rPr>
              <w:t>Valuation cap</w:t>
            </w:r>
          </w:p>
        </w:tc>
        <w:tc>
          <w:tcPr>
            <w:tcW w:type="dxa" w:w="5040"/>
            <w:tcMar>
              <w:top w:w="110" w:type="dxa"/>
              <w:start w:w="110" w:type="dxa"/>
              <w:bottom w:w="110" w:type="dxa"/>
              <w:end w:w="110" w:type="dxa"/>
            </w:tcMar>
            <w:vAlign w:val="center"/>
          </w:tcPr>
          <w:p>
            <w:pPr>
              <w:spacing w:after="0"/>
            </w:pPr>
            <w:r>
              <w:rPr>
                <w:rFonts w:ascii="Aptos" w:hAnsi="Aptos"/>
                <w:color w:val="232D37"/>
                <w:sz w:val="16"/>
              </w:rPr>
              <w:t>$12 million pre-money</w:t>
            </w:r>
          </w:p>
        </w:tc>
        <w:tc>
          <w:tcPr>
            <w:tcW w:type="dxa" w:w="2016"/>
            <w:tcMar>
              <w:top w:w="110" w:type="dxa"/>
              <w:start w:w="110" w:type="dxa"/>
              <w:bottom w:w="110" w:type="dxa"/>
              <w:end w:w="110" w:type="dxa"/>
            </w:tcMar>
            <w:vAlign w:val="center"/>
          </w:tcPr>
          <w:p>
            <w:pPr>
              <w:spacing w:after="0"/>
            </w:pPr>
            <w:r>
              <w:rPr>
                <w:rFonts w:ascii="Aptos" w:hAnsi="Aptos"/>
                <w:color w:val="232D37"/>
                <w:sz w:val="16"/>
              </w:rPr>
              <w:t>Illustrative</w:t>
            </w:r>
          </w:p>
        </w:tc>
      </w:tr>
      <w:tr>
        <w:tc>
          <w:tcPr>
            <w:tcW w:type="dxa" w:w="2880"/>
            <w:tcMar>
              <w:top w:w="110" w:type="dxa"/>
              <w:start w:w="110" w:type="dxa"/>
              <w:bottom w:w="110" w:type="dxa"/>
              <w:end w:w="110" w:type="dxa"/>
            </w:tcMar>
            <w:vAlign w:val="center"/>
            <w:shd w:fill="F4F7FA"/>
          </w:tcPr>
          <w:p>
            <w:pPr>
              <w:spacing w:after="0"/>
            </w:pPr>
            <w:r>
              <w:rPr>
                <w:rFonts w:ascii="Aptos" w:hAnsi="Aptos"/>
                <w:color w:val="232D37"/>
                <w:sz w:val="16"/>
              </w:rPr>
              <w:t>Qualified financing</w:t>
            </w:r>
          </w:p>
        </w:tc>
        <w:tc>
          <w:tcPr>
            <w:tcW w:type="dxa" w:w="5040"/>
            <w:tcMar>
              <w:top w:w="110" w:type="dxa"/>
              <w:start w:w="110" w:type="dxa"/>
              <w:bottom w:w="110" w:type="dxa"/>
              <w:end w:w="110" w:type="dxa"/>
            </w:tcMar>
            <w:vAlign w:val="center"/>
            <w:shd w:fill="F4F7FA"/>
          </w:tcPr>
          <w:p>
            <w:pPr>
              <w:spacing w:after="0"/>
            </w:pPr>
            <w:r>
              <w:rPr>
                <w:rFonts w:ascii="Aptos" w:hAnsi="Aptos"/>
                <w:color w:val="232D37"/>
                <w:sz w:val="16"/>
              </w:rPr>
              <w:t>$5 million</w:t>
            </w:r>
          </w:p>
        </w:tc>
        <w:tc>
          <w:tcPr>
            <w:tcW w:type="dxa" w:w="2016"/>
            <w:tcMar>
              <w:top w:w="110" w:type="dxa"/>
              <w:start w:w="110" w:type="dxa"/>
              <w:bottom w:w="110" w:type="dxa"/>
              <w:end w:w="110" w:type="dxa"/>
            </w:tcMar>
            <w:vAlign w:val="center"/>
            <w:shd w:fill="F4F7FA"/>
          </w:tcPr>
          <w:p>
            <w:pPr>
              <w:spacing w:after="0"/>
            </w:pPr>
            <w:r>
              <w:rPr>
                <w:rFonts w:ascii="Aptos" w:hAnsi="Aptos"/>
                <w:color w:val="232D37"/>
                <w:sz w:val="16"/>
              </w:rPr>
              <w:t>Illustrative</w:t>
            </w:r>
          </w:p>
        </w:tc>
      </w:tr>
      <w:tr>
        <w:tc>
          <w:tcPr>
            <w:tcW w:type="dxa" w:w="2880"/>
            <w:tcMar>
              <w:top w:w="110" w:type="dxa"/>
              <w:start w:w="110" w:type="dxa"/>
              <w:bottom w:w="110" w:type="dxa"/>
              <w:end w:w="110" w:type="dxa"/>
            </w:tcMar>
            <w:vAlign w:val="center"/>
          </w:tcPr>
          <w:p>
            <w:pPr>
              <w:spacing w:after="0"/>
            </w:pPr>
            <w:r>
              <w:rPr>
                <w:rFonts w:ascii="Aptos" w:hAnsi="Aptos"/>
                <w:color w:val="232D37"/>
                <w:sz w:val="16"/>
              </w:rPr>
              <w:t>Maturity</w:t>
            </w:r>
          </w:p>
        </w:tc>
        <w:tc>
          <w:tcPr>
            <w:tcW w:type="dxa" w:w="5040"/>
            <w:tcMar>
              <w:top w:w="110" w:type="dxa"/>
              <w:start w:w="110" w:type="dxa"/>
              <w:bottom w:w="110" w:type="dxa"/>
              <w:end w:w="110" w:type="dxa"/>
            </w:tcMar>
            <w:vAlign w:val="center"/>
          </w:tcPr>
          <w:p>
            <w:pPr>
              <w:spacing w:after="0"/>
            </w:pPr>
            <w:r>
              <w:rPr>
                <w:rFonts w:ascii="Aptos" w:hAnsi="Aptos"/>
                <w:color w:val="232D37"/>
                <w:sz w:val="16"/>
              </w:rPr>
              <w:t>November 30, 2030</w:t>
            </w:r>
          </w:p>
        </w:tc>
        <w:tc>
          <w:tcPr>
            <w:tcW w:type="dxa" w:w="2016"/>
            <w:tcMar>
              <w:top w:w="110" w:type="dxa"/>
              <w:start w:w="110" w:type="dxa"/>
              <w:bottom w:w="110" w:type="dxa"/>
              <w:end w:w="110" w:type="dxa"/>
            </w:tcMar>
            <w:vAlign w:val="center"/>
          </w:tcPr>
          <w:p>
            <w:pPr>
              <w:spacing w:after="0"/>
            </w:pPr>
            <w:r>
              <w:rPr>
                <w:rFonts w:ascii="Aptos" w:hAnsi="Aptos"/>
                <w:color w:val="232D37"/>
                <w:sz w:val="16"/>
              </w:rPr>
              <w:t>Proposed</w:t>
            </w:r>
          </w:p>
        </w:tc>
      </w:tr>
      <w:tr>
        <w:tc>
          <w:tcPr>
            <w:tcW w:type="dxa" w:w="2880"/>
            <w:tcMar>
              <w:top w:w="110" w:type="dxa"/>
              <w:start w:w="110" w:type="dxa"/>
              <w:bottom w:w="110" w:type="dxa"/>
              <w:end w:w="110" w:type="dxa"/>
            </w:tcMar>
            <w:vAlign w:val="center"/>
            <w:shd w:fill="F4F7FA"/>
          </w:tcPr>
          <w:p>
            <w:pPr>
              <w:spacing w:after="0"/>
            </w:pPr>
            <w:r>
              <w:rPr>
                <w:rFonts w:ascii="Aptos" w:hAnsi="Aptos"/>
                <w:color w:val="232D37"/>
                <w:sz w:val="16"/>
              </w:rPr>
              <w:t>Forecast conversion</w:t>
            </w:r>
          </w:p>
        </w:tc>
        <w:tc>
          <w:tcPr>
            <w:tcW w:type="dxa" w:w="5040"/>
            <w:tcMar>
              <w:top w:w="110" w:type="dxa"/>
              <w:start w:w="110" w:type="dxa"/>
              <w:bottom w:w="110" w:type="dxa"/>
              <w:end w:w="110" w:type="dxa"/>
            </w:tcMar>
            <w:vAlign w:val="center"/>
            <w:shd w:fill="F4F7FA"/>
          </w:tcPr>
          <w:p>
            <w:pPr>
              <w:spacing w:after="0"/>
            </w:pPr>
            <w:r>
              <w:rPr>
                <w:rFonts w:ascii="Aptos" w:hAnsi="Aptos"/>
                <w:color w:val="232D37"/>
                <w:sz w:val="16"/>
              </w:rPr>
              <w:t>None through 2029</w:t>
            </w:r>
          </w:p>
        </w:tc>
        <w:tc>
          <w:tcPr>
            <w:tcW w:type="dxa" w:w="2016"/>
            <w:tcMar>
              <w:top w:w="110" w:type="dxa"/>
              <w:start w:w="110" w:type="dxa"/>
              <w:bottom w:w="110" w:type="dxa"/>
              <w:end w:w="110" w:type="dxa"/>
            </w:tcMar>
            <w:vAlign w:val="center"/>
            <w:shd w:fill="F4F7FA"/>
          </w:tcPr>
          <w:p>
            <w:pPr>
              <w:spacing w:after="0"/>
            </w:pPr>
            <w:r>
              <w:rPr>
                <w:rFonts w:ascii="Aptos" w:hAnsi="Aptos"/>
                <w:color w:val="232D37"/>
                <w:sz w:val="16"/>
              </w:rPr>
              <w:t>Modeling treatment</w:t>
            </w:r>
          </w:p>
        </w:tc>
      </w:tr>
      <w:tr>
        <w:tc>
          <w:tcPr>
            <w:tcW w:type="dxa" w:w="2880"/>
            <w:tcMar>
              <w:top w:w="110" w:type="dxa"/>
              <w:start w:w="110" w:type="dxa"/>
              <w:bottom w:w="110" w:type="dxa"/>
              <w:end w:w="110" w:type="dxa"/>
            </w:tcMar>
            <w:vAlign w:val="center"/>
          </w:tcPr>
          <w:p>
            <w:pPr>
              <w:spacing w:after="0"/>
            </w:pPr>
            <w:r>
              <w:rPr>
                <w:rFonts w:ascii="Aptos" w:hAnsi="Aptos"/>
                <w:color w:val="232D37"/>
                <w:sz w:val="16"/>
              </w:rPr>
              <w:t>Section 163(j)</w:t>
            </w:r>
          </w:p>
        </w:tc>
        <w:tc>
          <w:tcPr>
            <w:tcW w:type="dxa" w:w="5040"/>
            <w:tcMar>
              <w:top w:w="110" w:type="dxa"/>
              <w:start w:w="110" w:type="dxa"/>
              <w:bottom w:w="110" w:type="dxa"/>
              <w:end w:w="110" w:type="dxa"/>
            </w:tcMar>
            <w:vAlign w:val="center"/>
          </w:tcPr>
          <w:p>
            <w:pPr>
              <w:spacing w:after="0"/>
            </w:pPr>
            <w:r>
              <w:rPr>
                <w:rFonts w:ascii="Aptos" w:hAnsi="Aptos"/>
                <w:color w:val="232D37"/>
                <w:sz w:val="16"/>
              </w:rPr>
              <w:t>30% ATI stress toggle on</w:t>
            </w:r>
          </w:p>
        </w:tc>
        <w:tc>
          <w:tcPr>
            <w:tcW w:type="dxa" w:w="2016"/>
            <w:tcMar>
              <w:top w:w="110" w:type="dxa"/>
              <w:start w:w="110" w:type="dxa"/>
              <w:bottom w:w="110" w:type="dxa"/>
              <w:end w:w="110" w:type="dxa"/>
            </w:tcMar>
            <w:vAlign w:val="center"/>
          </w:tcPr>
          <w:p>
            <w:pPr>
              <w:spacing w:after="0"/>
            </w:pPr>
            <w:r>
              <w:rPr>
                <w:rFonts w:ascii="Aptos" w:hAnsi="Aptos"/>
                <w:color w:val="232D37"/>
                <w:sz w:val="16"/>
              </w:rPr>
              <w:t>Planning safeguard</w:t>
            </w:r>
          </w:p>
        </w:tc>
      </w:tr>
    </w:tbl>
    <w:p>
      <w:pPr>
        <w:spacing w:after="20"/>
      </w:pP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4"/>
      </w:rPr>
      <w:t xml:space="preserve">CONFIDENTIAL DRAFT — COUNSEL AND ADVISER REVIEW REQUIRED  |  21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B7F79"/>
        <w:sz w:val="14"/>
      </w:rPr>
      <w:t>SVT NEXUS  |  VERSION 4 FINANCIAL SUPPORT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D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B7F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6324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SVT Nexus 2026–2029 Financial Estimate and Offering Support Memorandum — Version 4</dc:title>
  <dc:subject>Proposed hybrid convertible note and growth case</dc:subject>
  <dc:creator>SVT Nexus</dc:creator>
  <cp:keywords/>
  <dc:description>Confidential draft; management, securities counsel, tax, and accounting review required</dc:description>
  <cp:lastModifiedBy/>
  <cp:revision>1</cp:revision>
  <dcterms:created xsi:type="dcterms:W3CDTF">2013-12-23T23:15:00Z</dcterms:created>
  <dcterms:modified xsi:type="dcterms:W3CDTF">2013-12-23T23:15:00Z</dcterms:modified>
  <cp:category/>
</cp:coreProperties>
</file>