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Title"/>
        <w:spacing w:before="0" w:after="80" w:line="276" w:lineRule="auto"/>
        <w:jc w:val="center"/>
      </w:pPr>
      <w:r>
        <w:rPr>
          <w:rFonts w:ascii="Arial" w:hAnsi="Arial" w:eastAsia="Arial"/>
          <w:b w:val="0"/>
          <w:i w:val="0"/>
        </w:rPr>
        <w:t>GRAMMAR Runtime Alignment Memorandum</w:t>
      </w:r>
    </w:p>
    <w:p>
      <w:pPr>
        <w:spacing w:before="0" w:after="360" w:line="276" w:lineRule="auto"/>
        <w:jc w:val="center"/>
      </w:pPr>
      <w:r>
        <w:rPr>
          <w:rFonts w:ascii="Arial" w:hAnsi="Arial" w:eastAsia="Arial"/>
          <w:b w:val="0"/>
          <w:i w:val="0"/>
          <w:color w:val="8F662A"/>
          <w:sz w:val="25"/>
        </w:rPr>
        <w:t>M.I.M. Interpretation, Donor-Feature Integration, and ACHEEVY Runtime Governance</w:t>
      </w:r>
    </w:p>
    <w:tbl>
      <w:tblPr>
        <w:tblStyle w:val="TableGrid"/>
        <w:tblW w:type="auto" w:w="0"/>
        <w:jc w:val="center"/>
        <w:tblLayout w:type="fixed"/>
        <w:tblLook w:firstColumn="1" w:firstRow="1" w:lastColumn="0" w:lastRow="0" w:noHBand="0" w:noVBand="1" w:val="04A0"/>
      </w:tblPr>
      <w:tblGrid>
        <w:gridCol w:w="4824"/>
        <w:gridCol w:w="4824"/>
      </w:tblGrid>
      <w:tr>
        <w:tc>
          <w:tcPr>
            <w:tcW w:type="dxa" w:w="2592"/>
            <w:tcMar>
              <w:top w:w="90" w:type="dxa"/>
              <w:start w:w="110" w:type="dxa"/>
              <w:bottom w:w="90" w:type="dxa"/>
              <w:end w:w="110" w:type="dxa"/>
            </w:tcMar>
            <w:vAlign w:val="center"/>
            <w:shd w:fill="DDE7F1"/>
          </w:tcPr>
          <w:p>
            <w:pPr>
              <w:spacing w:before="40" w:after="40" w:line="252" w:lineRule="auto"/>
            </w:pPr>
            <w:r>
              <w:rPr>
                <w:rFonts w:ascii="Arial" w:hAnsi="Arial" w:eastAsia="Arial"/>
                <w:b/>
                <w:color w:val="14304E"/>
                <w:sz w:val="20"/>
              </w:rPr>
              <w:t>Prepared For</w:t>
            </w:r>
          </w:p>
        </w:tc>
        <w:tc>
          <w:tcPr>
            <w:tcW w:type="dxa" w:w="7056"/>
            <w:tcMar>
              <w:top w:w="90" w:type="dxa"/>
              <w:start w:w="110" w:type="dxa"/>
              <w:bottom w:w="90" w:type="dxa"/>
              <w:end w:w="110" w:type="dxa"/>
            </w:tcMar>
            <w:vAlign w:val="center"/>
            <w:shd w:fill="F7F9FC"/>
          </w:tcPr>
          <w:p>
            <w:pPr>
              <w:spacing w:before="40" w:after="40" w:line="252" w:lineRule="auto"/>
            </w:pPr>
            <w:r>
              <w:rPr>
                <w:rFonts w:ascii="Arial" w:hAnsi="Arial" w:eastAsia="Arial"/>
                <w:sz w:val="20"/>
              </w:rPr>
              <w:t>ACHIEVEMOR / ACHEEVY / GRAMMAR</w:t>
            </w:r>
          </w:p>
        </w:tc>
      </w:tr>
      <w:tr>
        <w:tc>
          <w:tcPr>
            <w:tcW w:type="dxa" w:w="2592"/>
            <w:tcMar>
              <w:top w:w="90" w:type="dxa"/>
              <w:start w:w="110" w:type="dxa"/>
              <w:bottom w:w="90" w:type="dxa"/>
              <w:end w:w="110" w:type="dxa"/>
            </w:tcMar>
            <w:vAlign w:val="center"/>
            <w:shd w:fill="DDE7F1"/>
          </w:tcPr>
          <w:p>
            <w:pPr>
              <w:spacing w:before="40" w:after="40" w:line="252" w:lineRule="auto"/>
            </w:pPr>
            <w:r>
              <w:rPr>
                <w:rFonts w:ascii="Arial" w:hAnsi="Arial" w:eastAsia="Arial"/>
                <w:b/>
                <w:color w:val="14304E"/>
                <w:sz w:val="20"/>
              </w:rPr>
              <w:t>Document Type</w:t>
            </w:r>
          </w:p>
        </w:tc>
        <w:tc>
          <w:tcPr>
            <w:tcW w:type="dxa" w:w="7056"/>
            <w:tcMar>
              <w:top w:w="90" w:type="dxa"/>
              <w:start w:w="110" w:type="dxa"/>
              <w:bottom w:w="90" w:type="dxa"/>
              <w:end w:w="110" w:type="dxa"/>
            </w:tcMar>
            <w:vAlign w:val="center"/>
            <w:shd w:fill="F7F9FC"/>
          </w:tcPr>
          <w:p>
            <w:pPr>
              <w:spacing w:before="40" w:after="40" w:line="252" w:lineRule="auto"/>
            </w:pPr>
            <w:r>
              <w:rPr>
                <w:rFonts w:ascii="Arial" w:hAnsi="Arial" w:eastAsia="Arial"/>
                <w:sz w:val="20"/>
              </w:rPr>
              <w:t>Formal architecture and operating memorandum</w:t>
            </w:r>
          </w:p>
        </w:tc>
      </w:tr>
      <w:tr>
        <w:tc>
          <w:tcPr>
            <w:tcW w:type="dxa" w:w="2592"/>
            <w:tcMar>
              <w:top w:w="90" w:type="dxa"/>
              <w:start w:w="110" w:type="dxa"/>
              <w:bottom w:w="90" w:type="dxa"/>
              <w:end w:w="110" w:type="dxa"/>
            </w:tcMar>
            <w:vAlign w:val="center"/>
            <w:shd w:fill="DDE7F1"/>
          </w:tcPr>
          <w:p>
            <w:pPr>
              <w:spacing w:before="40" w:after="40" w:line="252" w:lineRule="auto"/>
            </w:pPr>
            <w:r>
              <w:rPr>
                <w:rFonts w:ascii="Arial" w:hAnsi="Arial" w:eastAsia="Arial"/>
                <w:b/>
                <w:color w:val="14304E"/>
                <w:sz w:val="20"/>
              </w:rPr>
              <w:t>Date</w:t>
            </w:r>
          </w:p>
        </w:tc>
        <w:tc>
          <w:tcPr>
            <w:tcW w:type="dxa" w:w="7056"/>
            <w:tcMar>
              <w:top w:w="90" w:type="dxa"/>
              <w:start w:w="110" w:type="dxa"/>
              <w:bottom w:w="90" w:type="dxa"/>
              <w:end w:w="110" w:type="dxa"/>
            </w:tcMar>
            <w:vAlign w:val="center"/>
            <w:shd w:fill="F7F9FC"/>
          </w:tcPr>
          <w:p>
            <w:pPr>
              <w:spacing w:before="40" w:after="40" w:line="252" w:lineRule="auto"/>
            </w:pPr>
            <w:r>
              <w:rPr>
                <w:rFonts w:ascii="Arial" w:hAnsi="Arial" w:eastAsia="Arial"/>
                <w:sz w:val="20"/>
              </w:rPr>
              <w:t>March 11, 2026</w:t>
            </w:r>
          </w:p>
        </w:tc>
      </w:tr>
      <w:tr>
        <w:tc>
          <w:tcPr>
            <w:tcW w:type="dxa" w:w="2592"/>
            <w:tcMar>
              <w:top w:w="90" w:type="dxa"/>
              <w:start w:w="110" w:type="dxa"/>
              <w:bottom w:w="90" w:type="dxa"/>
              <w:end w:w="110" w:type="dxa"/>
            </w:tcMar>
            <w:vAlign w:val="center"/>
            <w:shd w:fill="DDE7F1"/>
          </w:tcPr>
          <w:p>
            <w:pPr>
              <w:spacing w:before="40" w:after="40" w:line="252" w:lineRule="auto"/>
            </w:pPr>
            <w:r>
              <w:rPr>
                <w:rFonts w:ascii="Arial" w:hAnsi="Arial" w:eastAsia="Arial"/>
                <w:b/>
                <w:color w:val="14304E"/>
                <w:sz w:val="20"/>
              </w:rPr>
              <w:t>Status</w:t>
            </w:r>
          </w:p>
        </w:tc>
        <w:tc>
          <w:tcPr>
            <w:tcW w:type="dxa" w:w="7056"/>
            <w:tcMar>
              <w:top w:w="90" w:type="dxa"/>
              <w:start w:w="110" w:type="dxa"/>
              <w:bottom w:w="90" w:type="dxa"/>
              <w:end w:w="110" w:type="dxa"/>
            </w:tcMar>
            <w:vAlign w:val="center"/>
            <w:shd w:fill="F7F9FC"/>
          </w:tcPr>
          <w:p>
            <w:pPr>
              <w:spacing w:before="40" w:after="40" w:line="252" w:lineRule="auto"/>
            </w:pPr>
            <w:r>
              <w:rPr>
                <w:rFonts w:ascii="Arial" w:hAnsi="Arial" w:eastAsia="Arial"/>
                <w:sz w:val="20"/>
              </w:rPr>
              <w:t>Draft v1.0</w:t>
            </w:r>
          </w:p>
        </w:tc>
      </w:tr>
    </w:tbl>
    <w:p>
      <w:pPr>
        <w:spacing w:before="0" w:after="160" w:line="276" w:lineRule="auto"/>
      </w:pPr>
    </w:p>
    <w:p>
      <w:pPr>
        <w:pStyle w:val="SubHead"/>
        <w:spacing w:before="160" w:after="120" w:line="276" w:lineRule="auto"/>
      </w:pPr>
      <w:r>
        <w:rPr>
          <w:rFonts w:ascii="Arial" w:hAnsi="Arial" w:eastAsia="Arial"/>
          <w:b w:val="0"/>
          <w:i w:val="0"/>
        </w:rPr>
        <w:t>Document Basis</w:t>
      </w:r>
    </w:p>
    <w:p>
      <w:pPr>
        <w:spacing w:before="0" w:after="160" w:line="276" w:lineRule="auto"/>
      </w:pPr>
      <w:r>
        <w:rPr>
          <w:rFonts w:ascii="Arial" w:hAnsi="Arial" w:eastAsia="Arial"/>
          <w:b w:val="0"/>
          <w:i w:val="0"/>
        </w:rPr>
        <w:t>This memorandum consolidates the current GRAMMAR operating guidebooks, the integrated runtime direction, the deep-dive additions, and the recent working decisions made around M.I.M., donor-feature intake, intent interpretation, capability routing, and Boomer_Ang support roles.</w:t>
      </w:r>
    </w:p>
    <w:p>
      <w:pPr>
        <w:spacing w:before="0" w:after="200" w:line="276" w:lineRule="auto"/>
      </w:pPr>
      <w:r>
        <w:rPr>
          <w:rFonts w:ascii="Arial" w:hAnsi="Arial" w:eastAsia="Arial"/>
          <w:b w:val="0"/>
          <w:i w:val="0"/>
        </w:rPr>
        <w:t>Working premise formalized here: ACHIEVEMOR does not copy outside products as architecture authorities. It interprets the useful pattern, decides whether it fits the existing ecosystem, then reuses, fortifies, adapts, or selectively adds components inside GRAMMAR under ACHEEVY governance.</w:t>
      </w:r>
    </w:p>
    <w:p>
      <w:r>
        <w:br w:type="page"/>
      </w:r>
    </w:p>
    <w:p>
      <w:pPr>
        <w:pStyle w:val="SectionHead"/>
        <w:spacing w:before="160" w:after="120" w:line="276" w:lineRule="auto"/>
      </w:pPr>
      <w:r>
        <w:rPr>
          <w:rFonts w:ascii="Arial" w:hAnsi="Arial" w:eastAsia="Arial"/>
          <w:b w:val="0"/>
          <w:i w:val="0"/>
        </w:rPr>
        <w:t>1. Purpose of This Memorandum</w:t>
      </w:r>
    </w:p>
    <w:p>
      <w:pPr>
        <w:spacing w:after="80" w:line="269" w:lineRule="auto"/>
        <w:ind w:left="259"/>
      </w:pPr>
      <w:r>
        <w:rPr>
          <w:rFonts w:ascii="Arial" w:hAnsi="Arial" w:eastAsia="Arial"/>
          <w:sz w:val="21"/>
        </w:rPr>
        <w:t>•  Establish a formal, shared interpretation of how GRAMMAR, ACHEEVY, M.I.M., Boomer_Angs, Picker_Ang, BuildSmith, Review/Hone, and supporting skills work together as one governed runtime.</w:t>
      </w:r>
    </w:p>
    <w:p>
      <w:pPr>
        <w:spacing w:after="80" w:line="269" w:lineRule="auto"/>
        <w:ind w:left="259"/>
      </w:pPr>
      <w:r>
        <w:rPr>
          <w:rFonts w:ascii="Arial" w:hAnsi="Arial" w:eastAsia="Arial"/>
          <w:sz w:val="21"/>
        </w:rPr>
        <w:t>•  Correct the narrow assumption that M.I.M. is only for cloning or greenfield creation. In this operating model, M.I.M. is the discipline used to interpret donor ideas, features, repos, URLs, workflows, and business models, then fit them into the existing ACHIEVEMOR ecosystem in a controlled way.</w:t>
      </w:r>
    </w:p>
    <w:p>
      <w:pPr>
        <w:spacing w:after="80" w:line="269" w:lineRule="auto"/>
        <w:ind w:left="259"/>
      </w:pPr>
      <w:r>
        <w:rPr>
          <w:rFonts w:ascii="Arial" w:hAnsi="Arial" w:eastAsia="Arial"/>
          <w:sz w:val="21"/>
        </w:rPr>
        <w:t>•  Define the decision law for donor-feature intake so the system can determine whether the right move is native reuse, fortification of an existing layer, adapter integration, controlled addition of a missing component, or rejection because the pattern conflicts with GRAMMAR's architecture.</w:t>
      </w:r>
    </w:p>
    <w:p>
      <w:pPr>
        <w:pStyle w:val="SectionHead"/>
        <w:spacing w:before="160" w:after="120" w:line="276" w:lineRule="auto"/>
      </w:pPr>
      <w:r>
        <w:rPr>
          <w:rFonts w:ascii="Arial" w:hAnsi="Arial" w:eastAsia="Arial"/>
          <w:b w:val="0"/>
          <w:i w:val="0"/>
        </w:rPr>
        <w:t>2. Strategic Clarification: What M.I.M. Means in Practice</w:t>
      </w:r>
    </w:p>
    <w:p>
      <w:pPr>
        <w:spacing w:after="80" w:line="269" w:lineRule="auto"/>
        <w:ind w:left="259"/>
      </w:pPr>
      <w:r>
        <w:rPr>
          <w:rFonts w:ascii="Arial" w:hAnsi="Arial" w:eastAsia="Arial"/>
          <w:sz w:val="21"/>
        </w:rPr>
        <w:t>•  M.I.M. should be treated as the method by which outside signals are translated into governed internal action. It is not a chat persona, not a free-floating agent, and not a reason to collapse system boundaries.</w:t>
      </w:r>
    </w:p>
    <w:p>
      <w:pPr>
        <w:spacing w:after="80" w:line="269" w:lineRule="auto"/>
        <w:ind w:left="259"/>
      </w:pPr>
      <w:r>
        <w:rPr>
          <w:rFonts w:ascii="Arial" w:hAnsi="Arial" w:eastAsia="Arial"/>
          <w:sz w:val="21"/>
        </w:rPr>
        <w:t>•  The make-it-mine pattern is therefore not literal duplication. It is interpretive integration. The system studies the outside pattern, identifies the underlying user value, checks the existing runtime for a native place to hold that value, and only then decides whether to extend the stack.</w:t>
      </w:r>
    </w:p>
    <w:p>
      <w:pPr>
        <w:spacing w:after="80" w:line="269" w:lineRule="auto"/>
        <w:ind w:left="259"/>
      </w:pPr>
      <w:r>
        <w:rPr>
          <w:rFonts w:ascii="Arial" w:hAnsi="Arial" w:eastAsia="Arial"/>
          <w:sz w:val="21"/>
        </w:rPr>
        <w:t>•  This matters because ACHIEVEMOR already has a runtime shape. GRAMMAR is the API-first orchestration runtime; ACHEEVY coordinates; Boomer_Angs execute; Picker_Ang routes by capability; BuildSmith assembles approved work; Review/Hone validates; Packaging prepares delivery bundles.</w:t>
      </w:r>
    </w:p>
    <w:p>
      <w:pPr>
        <w:pStyle w:val="SectionHead"/>
        <w:spacing w:before="160" w:after="120" w:line="276" w:lineRule="auto"/>
      </w:pPr>
      <w:r>
        <w:rPr>
          <w:rFonts w:ascii="Arial" w:hAnsi="Arial" w:eastAsia="Arial"/>
          <w:b w:val="0"/>
          <w:i w:val="0"/>
        </w:rPr>
        <w:t>3. Operating Position of GRAMMAR</w:t>
      </w:r>
    </w:p>
    <w:p>
      <w:pPr>
        <w:spacing w:after="80" w:line="269" w:lineRule="auto"/>
        <w:ind w:left="259"/>
      </w:pPr>
      <w:r>
        <w:rPr>
          <w:rFonts w:ascii="Arial" w:hAnsi="Arial" w:eastAsia="Arial"/>
          <w:sz w:val="21"/>
        </w:rPr>
        <w:t>•  GRAMMAR is the action runtime, not a simple chat shell. Its lite interface exists to collect inputs, expose board state, handle approvals, surface reviews, and return deliverables. The runtime below that interface carries the actual production value.</w:t>
      </w:r>
    </w:p>
    <w:p>
      <w:pPr>
        <w:spacing w:after="80" w:line="269" w:lineRule="auto"/>
        <w:ind w:left="259"/>
      </w:pPr>
      <w:r>
        <w:rPr>
          <w:rFonts w:ascii="Arial" w:hAnsi="Arial" w:eastAsia="Arial"/>
          <w:sz w:val="21"/>
        </w:rPr>
        <w:t>•  The platform remains provider-agnostic. Every action is routed by capability class before provider choice. This preserves replaceability, fallback routing, and truthful architecture claims.</w:t>
      </w:r>
    </w:p>
    <w:p>
      <w:pPr>
        <w:spacing w:after="80" w:line="269" w:lineRule="auto"/>
        <w:ind w:left="259"/>
      </w:pPr>
      <w:r>
        <w:rPr>
          <w:rFonts w:ascii="Arial" w:hAnsi="Arial" w:eastAsia="Arial"/>
          <w:sz w:val="21"/>
        </w:rPr>
        <w:t>•  M.I.M. governs context, revisions, approvals, rejections, constraints, delivery requirements, and learned preferences across the project lifecycle. No execution role should operate on raw prompts alone.</w:t>
      </w:r>
    </w:p>
    <w:p>
      <w:pPr>
        <w:pStyle w:val="SectionHead"/>
        <w:spacing w:before="200" w:after="120" w:line="276" w:lineRule="auto"/>
      </w:pPr>
      <w:r>
        <w:rPr>
          <w:rFonts w:ascii="Arial" w:hAnsi="Arial" w:eastAsia="Arial"/>
          <w:b w:val="0"/>
          <w:i w:val="0"/>
        </w:rPr>
        <w:t>4. Runtime Responsibility Matrix</w:t>
      </w:r>
    </w:p>
    <w:p>
      <w:pPr>
        <w:spacing w:before="0" w:after="120" w:line="276" w:lineRule="auto"/>
      </w:pPr>
      <w:r>
        <w:rPr>
          <w:rFonts w:ascii="Arial" w:hAnsi="Arial" w:eastAsia="Arial"/>
          <w:b w:val="0"/>
          <w:i w:val="0"/>
        </w:rPr>
        <w:t>The table below states the standing ownership model that this memorandum relies on. The names are operating responsibilities and should not be treated as already-existing services unless they are implemented in code or provided by a connected repo.</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DE7F1"/>
            <w:tcMar>
              <w:top w:w="80" w:type="dxa"/>
              <w:start w:w="100" w:type="dxa"/>
              <w:bottom w:w="80" w:type="dxa"/>
              <w:end w:w="100" w:type="dxa"/>
            </w:tcMar>
            <w:vAlign w:val="center"/>
          </w:tcPr>
          <w:p>
            <w:r>
              <w:rPr>
                <w:rFonts w:ascii="Arial" w:hAnsi="Arial" w:eastAsia="Arial"/>
                <w:b/>
                <w:color w:val="14304E"/>
                <w:sz w:val="19"/>
              </w:rPr>
              <w:t>Runtime Responsibility</w:t>
            </w:r>
          </w:p>
        </w:tc>
        <w:tc>
          <w:tcPr>
            <w:tcW w:type="dxa" w:w="3216"/>
            <w:shd w:fill="DDE7F1"/>
            <w:tcMar>
              <w:top w:w="80" w:type="dxa"/>
              <w:start w:w="100" w:type="dxa"/>
              <w:bottom w:w="80" w:type="dxa"/>
              <w:end w:w="100" w:type="dxa"/>
            </w:tcMar>
            <w:vAlign w:val="center"/>
          </w:tcPr>
          <w:p>
            <w:r>
              <w:rPr>
                <w:rFonts w:ascii="Arial" w:hAnsi="Arial" w:eastAsia="Arial"/>
                <w:b/>
                <w:color w:val="14304E"/>
                <w:sz w:val="19"/>
              </w:rPr>
              <w:t>Owns</w:t>
            </w:r>
          </w:p>
        </w:tc>
        <w:tc>
          <w:tcPr>
            <w:tcW w:type="dxa" w:w="3216"/>
            <w:shd w:fill="DDE7F1"/>
            <w:tcMar>
              <w:top w:w="80" w:type="dxa"/>
              <w:start w:w="100" w:type="dxa"/>
              <w:bottom w:w="80" w:type="dxa"/>
              <w:end w:w="100" w:type="dxa"/>
            </w:tcMar>
            <w:vAlign w:val="center"/>
          </w:tcPr>
          <w:p>
            <w:r>
              <w:rPr>
                <w:rFonts w:ascii="Arial" w:hAnsi="Arial" w:eastAsia="Arial"/>
                <w:b/>
                <w:color w:val="14304E"/>
                <w:sz w:val="19"/>
              </w:rPr>
              <w:t>Must Not Be Treated As</w:t>
            </w:r>
          </w:p>
        </w:tc>
      </w:tr>
      <w:tr>
        <w:tc>
          <w:tcPr>
            <w:tcW w:type="dxa" w:w="3216"/>
            <w:tcMar>
              <w:top w:w="80" w:type="dxa"/>
              <w:start w:w="100" w:type="dxa"/>
              <w:bottom w:w="80" w:type="dxa"/>
              <w:end w:w="100" w:type="dxa"/>
            </w:tcMar>
            <w:vAlign w:val="center"/>
            <w:shd w:fill="F7F9FC"/>
          </w:tcPr>
          <w:p>
            <w:pPr>
              <w:spacing w:after="40" w:line="252" w:lineRule="auto"/>
            </w:pPr>
            <w:r>
              <w:rPr>
                <w:rFonts w:ascii="Arial" w:hAnsi="Arial" w:eastAsia="Arial"/>
                <w:b/>
                <w:color w:val="14304E"/>
                <w:sz w:val="18"/>
              </w:rPr>
              <w:t>NTNTN</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Intent framing, ambiguity reduction, normalized intent object</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The final executor or full runtime</w:t>
            </w:r>
          </w:p>
        </w:tc>
      </w:tr>
      <w:tr>
        <w:tc>
          <w:tcPr>
            <w:tcW w:type="dxa" w:w="3216"/>
            <w:tcMar>
              <w:top w:w="80" w:type="dxa"/>
              <w:start w:w="100" w:type="dxa"/>
              <w:bottom w:w="80" w:type="dxa"/>
              <w:end w:w="100" w:type="dxa"/>
            </w:tcMar>
            <w:vAlign w:val="center"/>
            <w:shd w:fill="F7F9FC"/>
          </w:tcPr>
          <w:p>
            <w:pPr>
              <w:spacing w:after="40" w:line="252" w:lineRule="auto"/>
            </w:pPr>
            <w:r>
              <w:rPr>
                <w:rFonts w:ascii="Arial" w:hAnsi="Arial" w:eastAsia="Arial"/>
                <w:b/>
                <w:color w:val="14304E"/>
                <w:sz w:val="18"/>
              </w:rPr>
              <w:t>M.I.M.</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Context Packs, revisions, approvals, constraints, memory discipline, distribution of governed context</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An agent or a substitute for orchestration</w:t>
            </w:r>
          </w:p>
        </w:tc>
      </w:tr>
      <w:tr>
        <w:tc>
          <w:tcPr>
            <w:tcW w:type="dxa" w:w="3216"/>
            <w:tcMar>
              <w:top w:w="80" w:type="dxa"/>
              <w:start w:w="100" w:type="dxa"/>
              <w:bottom w:w="80" w:type="dxa"/>
              <w:end w:w="100" w:type="dxa"/>
            </w:tcMar>
            <w:vAlign w:val="center"/>
            <w:shd w:fill="F7F9FC"/>
          </w:tcPr>
          <w:p>
            <w:pPr>
              <w:spacing w:after="40" w:line="252" w:lineRule="auto"/>
            </w:pPr>
            <w:r>
              <w:rPr>
                <w:rFonts w:ascii="Arial" w:hAnsi="Arial" w:eastAsia="Arial"/>
                <w:b/>
                <w:color w:val="14304E"/>
                <w:sz w:val="18"/>
              </w:rPr>
              <w:t>ACHEEVY</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Huddle, action board, sequencing, branch coordination, approval checkpoints</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A raw task executor</w:t>
            </w:r>
          </w:p>
        </w:tc>
      </w:tr>
      <w:tr>
        <w:tc>
          <w:tcPr>
            <w:tcW w:type="dxa" w:w="3216"/>
            <w:tcMar>
              <w:top w:w="80" w:type="dxa"/>
              <w:start w:w="100" w:type="dxa"/>
              <w:bottom w:w="80" w:type="dxa"/>
              <w:end w:w="100" w:type="dxa"/>
            </w:tcMar>
            <w:vAlign w:val="center"/>
            <w:shd w:fill="F7F9FC"/>
          </w:tcPr>
          <w:p>
            <w:pPr>
              <w:spacing w:after="40" w:line="252" w:lineRule="auto"/>
            </w:pPr>
            <w:r>
              <w:rPr>
                <w:rFonts w:ascii="Arial" w:hAnsi="Arial" w:eastAsia="Arial"/>
                <w:b/>
                <w:color w:val="14304E"/>
                <w:sz w:val="18"/>
              </w:rPr>
              <w:t>Boomer_Angs</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Specialized domain execution roles acting on governed context</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Chat personas with undefined boundaries</w:t>
            </w:r>
          </w:p>
        </w:tc>
      </w:tr>
      <w:tr>
        <w:tc>
          <w:tcPr>
            <w:tcW w:type="dxa" w:w="3216"/>
            <w:tcMar>
              <w:top w:w="80" w:type="dxa"/>
              <w:start w:w="100" w:type="dxa"/>
              <w:bottom w:w="80" w:type="dxa"/>
              <w:end w:w="100" w:type="dxa"/>
            </w:tcMar>
            <w:vAlign w:val="center"/>
            <w:shd w:fill="F7F9FC"/>
          </w:tcPr>
          <w:p>
            <w:pPr>
              <w:spacing w:after="40" w:line="252" w:lineRule="auto"/>
            </w:pPr>
            <w:r>
              <w:rPr>
                <w:rFonts w:ascii="Arial" w:hAnsi="Arial" w:eastAsia="Arial"/>
                <w:b/>
                <w:color w:val="14304E"/>
                <w:sz w:val="18"/>
              </w:rPr>
              <w:t>Picker_Ang</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Capability-class routing, scoring, fallbacks, provider selection</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A hard-coded vendor chooser</w:t>
            </w:r>
          </w:p>
        </w:tc>
      </w:tr>
      <w:tr>
        <w:tc>
          <w:tcPr>
            <w:tcW w:type="dxa" w:w="3216"/>
            <w:tcMar>
              <w:top w:w="80" w:type="dxa"/>
              <w:start w:w="100" w:type="dxa"/>
              <w:bottom w:w="80" w:type="dxa"/>
              <w:end w:w="100" w:type="dxa"/>
            </w:tcMar>
            <w:vAlign w:val="center"/>
            <w:shd w:fill="F7F9FC"/>
          </w:tcPr>
          <w:p>
            <w:pPr>
              <w:spacing w:after="40" w:line="252" w:lineRule="auto"/>
            </w:pPr>
            <w:r>
              <w:rPr>
                <w:rFonts w:ascii="Arial" w:hAnsi="Arial" w:eastAsia="Arial"/>
                <w:b/>
                <w:color w:val="14304E"/>
                <w:sz w:val="18"/>
              </w:rPr>
              <w:t>BuildSmith</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Assembly of approved work into builds and deliverables</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The planner or capability router</w:t>
            </w:r>
          </w:p>
        </w:tc>
      </w:tr>
      <w:tr>
        <w:tc>
          <w:tcPr>
            <w:tcW w:type="dxa" w:w="3216"/>
            <w:tcMar>
              <w:top w:w="80" w:type="dxa"/>
              <w:start w:w="100" w:type="dxa"/>
              <w:bottom w:w="80" w:type="dxa"/>
              <w:end w:w="100" w:type="dxa"/>
            </w:tcMar>
            <w:vAlign w:val="center"/>
            <w:shd w:fill="F7F9FC"/>
          </w:tcPr>
          <w:p>
            <w:pPr>
              <w:spacing w:after="40" w:line="252" w:lineRule="auto"/>
            </w:pPr>
            <w:r>
              <w:rPr>
                <w:rFonts w:ascii="Arial" w:hAnsi="Arial" w:eastAsia="Arial"/>
                <w:b/>
                <w:color w:val="14304E"/>
                <w:sz w:val="18"/>
              </w:rPr>
              <w:t>Review / Hone</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Validation, safe auto-fixes, escalations, release gating</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A cosmetic afterthought</w:t>
            </w:r>
          </w:p>
        </w:tc>
      </w:tr>
      <w:tr>
        <w:tc>
          <w:tcPr>
            <w:tcW w:type="dxa" w:w="3216"/>
            <w:tcMar>
              <w:top w:w="80" w:type="dxa"/>
              <w:start w:w="100" w:type="dxa"/>
              <w:bottom w:w="80" w:type="dxa"/>
              <w:end w:w="100" w:type="dxa"/>
            </w:tcMar>
            <w:vAlign w:val="center"/>
            <w:shd w:fill="F7F9FC"/>
          </w:tcPr>
          <w:p>
            <w:pPr>
              <w:spacing w:after="40" w:line="252" w:lineRule="auto"/>
            </w:pPr>
            <w:r>
              <w:rPr>
                <w:rFonts w:ascii="Arial" w:hAnsi="Arial" w:eastAsia="Arial"/>
                <w:b/>
                <w:color w:val="14304E"/>
                <w:sz w:val="18"/>
              </w:rPr>
              <w:t>Packaging</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Manifest, evidence bundle, handoff bundle, final retrieval path</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The same thing as execution</w:t>
            </w:r>
          </w:p>
        </w:tc>
      </w:tr>
    </w:tbl>
    <w:p>
      <w:pPr>
        <w:pStyle w:val="SectionHead"/>
        <w:spacing w:before="200" w:after="120" w:line="276" w:lineRule="auto"/>
      </w:pPr>
      <w:r>
        <w:rPr>
          <w:rFonts w:ascii="Arial" w:hAnsi="Arial" w:eastAsia="Arial"/>
          <w:b w:val="0"/>
          <w:i w:val="0"/>
        </w:rPr>
        <w:t>5. Donor-Feature Intake Law</w:t>
      </w:r>
    </w:p>
    <w:p>
      <w:pPr>
        <w:spacing w:before="0" w:after="120" w:line="276" w:lineRule="auto"/>
      </w:pPr>
      <w:r>
        <w:rPr>
          <w:rFonts w:ascii="Arial" w:hAnsi="Arial" w:eastAsia="Arial"/>
          <w:b w:val="0"/>
          <w:i w:val="0"/>
        </w:rPr>
        <w:t>A donor input may be a feature announcement, workflow, URL, repository, product screen, operating model, business process, or service pattern. The intake question is not 'How do we copy this?' The intake question is 'What user value is present here, where does that value belong in our runtime, and do we already have a layer that should own it?'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EFE7D7"/>
            <w:tcMar>
              <w:top w:w="80" w:type="dxa"/>
              <w:start w:w="100" w:type="dxa"/>
              <w:bottom w:w="80" w:type="dxa"/>
              <w:end w:w="100" w:type="dxa"/>
            </w:tcMar>
          </w:tcPr>
          <w:p>
            <w:r>
              <w:rPr>
                <w:rFonts w:ascii="Arial" w:hAnsi="Arial" w:eastAsia="Arial"/>
                <w:b/>
                <w:color w:val="14304E"/>
                <w:sz w:val="18"/>
              </w:rPr>
              <w:t>Fit Verdict</w:t>
            </w:r>
          </w:p>
        </w:tc>
        <w:tc>
          <w:tcPr>
            <w:tcW w:type="dxa" w:w="2412"/>
            <w:shd w:fill="EFE7D7"/>
            <w:tcMar>
              <w:top w:w="80" w:type="dxa"/>
              <w:start w:w="100" w:type="dxa"/>
              <w:bottom w:w="80" w:type="dxa"/>
              <w:end w:w="100" w:type="dxa"/>
            </w:tcMar>
          </w:tcPr>
          <w:p>
            <w:r>
              <w:rPr>
                <w:rFonts w:ascii="Arial" w:hAnsi="Arial" w:eastAsia="Arial"/>
                <w:b/>
                <w:color w:val="14304E"/>
                <w:sz w:val="18"/>
              </w:rPr>
              <w:t>Meaning</w:t>
            </w:r>
          </w:p>
        </w:tc>
        <w:tc>
          <w:tcPr>
            <w:tcW w:type="dxa" w:w="2412"/>
            <w:shd w:fill="EFE7D7"/>
            <w:tcMar>
              <w:top w:w="80" w:type="dxa"/>
              <w:start w:w="100" w:type="dxa"/>
              <w:bottom w:w="80" w:type="dxa"/>
              <w:end w:w="100" w:type="dxa"/>
            </w:tcMar>
          </w:tcPr>
          <w:p>
            <w:r>
              <w:rPr>
                <w:rFonts w:ascii="Arial" w:hAnsi="Arial" w:eastAsia="Arial"/>
                <w:b/>
                <w:color w:val="14304E"/>
                <w:sz w:val="18"/>
              </w:rPr>
              <w:t>When It Applies</w:t>
            </w:r>
          </w:p>
        </w:tc>
        <w:tc>
          <w:tcPr>
            <w:tcW w:type="dxa" w:w="2412"/>
            <w:shd w:fill="EFE7D7"/>
            <w:tcMar>
              <w:top w:w="80" w:type="dxa"/>
              <w:start w:w="100" w:type="dxa"/>
              <w:bottom w:w="80" w:type="dxa"/>
              <w:end w:w="100" w:type="dxa"/>
            </w:tcMar>
          </w:tcPr>
          <w:p>
            <w:r>
              <w:rPr>
                <w:rFonts w:ascii="Arial" w:hAnsi="Arial" w:eastAsia="Arial"/>
                <w:b/>
                <w:color w:val="14304E"/>
                <w:sz w:val="18"/>
              </w:rPr>
              <w:t>Required Result</w:t>
            </w:r>
          </w:p>
        </w:tc>
      </w:tr>
      <w:tr>
        <w:tc>
          <w:tcPr>
            <w:tcW w:type="dxa" w:w="2412"/>
            <w:tcMar>
              <w:top w:w="80" w:type="dxa"/>
              <w:start w:w="100" w:type="dxa"/>
              <w:bottom w:w="80" w:type="dxa"/>
              <w:end w:w="100" w:type="dxa"/>
            </w:tcMar>
            <w:vAlign w:val="center"/>
          </w:tcPr>
          <w:p>
            <w:pPr>
              <w:spacing w:after="40" w:line="252" w:lineRule="auto"/>
            </w:pPr>
            <w:r>
              <w:rPr>
                <w:rFonts w:ascii="Arial" w:hAnsi="Arial" w:eastAsia="Arial"/>
                <w:b/>
                <w:color w:val="8F662A"/>
                <w:sz w:val="18"/>
              </w:rPr>
              <w:t>Native Reuse</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The required pattern already exists in the current runtime.</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An existing GRAMMAR, ACHEEVY, Picker_Ang, BuildSmith, Review/Hone, or platform layer can already hold the need.</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Use the existing layer and tighten instructions, prompts, or contracts.</w:t>
            </w:r>
          </w:p>
        </w:tc>
      </w:tr>
      <w:tr>
        <w:tc>
          <w:tcPr>
            <w:tcW w:type="dxa" w:w="2412"/>
            <w:tcMar>
              <w:top w:w="80" w:type="dxa"/>
              <w:start w:w="100" w:type="dxa"/>
              <w:bottom w:w="80" w:type="dxa"/>
              <w:end w:w="100" w:type="dxa"/>
            </w:tcMar>
            <w:vAlign w:val="center"/>
          </w:tcPr>
          <w:p>
            <w:pPr>
              <w:spacing w:after="40" w:line="252" w:lineRule="auto"/>
            </w:pPr>
            <w:r>
              <w:rPr>
                <w:rFonts w:ascii="Arial" w:hAnsi="Arial" w:eastAsia="Arial"/>
                <w:b/>
                <w:color w:val="8F662A"/>
                <w:sz w:val="18"/>
              </w:rPr>
              <w:t>Fortify Existing</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The right owner exists, but the layer needs sharper skills, rules, or interface support.</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The value belongs in an existing role, but quality, visibility, memory, or decision logic is weak.</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Add or refine skills, prompts, policies, views, or evidence rules.</w:t>
            </w:r>
          </w:p>
        </w:tc>
      </w:tr>
      <w:tr>
        <w:tc>
          <w:tcPr>
            <w:tcW w:type="dxa" w:w="2412"/>
            <w:tcMar>
              <w:top w:w="80" w:type="dxa"/>
              <w:start w:w="100" w:type="dxa"/>
              <w:bottom w:w="80" w:type="dxa"/>
              <w:end w:w="100" w:type="dxa"/>
            </w:tcMar>
            <w:vAlign w:val="center"/>
          </w:tcPr>
          <w:p>
            <w:pPr>
              <w:spacing w:after="40" w:line="252" w:lineRule="auto"/>
            </w:pPr>
            <w:r>
              <w:rPr>
                <w:rFonts w:ascii="Arial" w:hAnsi="Arial" w:eastAsia="Arial"/>
                <w:b/>
                <w:color w:val="8F662A"/>
                <w:sz w:val="18"/>
              </w:rPr>
              <w:t>Adapter Integration</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The outside capability should be wrapped and governed, not absorbed as a new brain.</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A connector, third-party API, repo, or service can serve one capability class well.</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Add adapter rules, registry entry, permissions, and fallback logic.</w:t>
            </w:r>
          </w:p>
        </w:tc>
      </w:tr>
      <w:tr>
        <w:tc>
          <w:tcPr>
            <w:tcW w:type="dxa" w:w="2412"/>
            <w:tcMar>
              <w:top w:w="80" w:type="dxa"/>
              <w:start w:w="100" w:type="dxa"/>
              <w:bottom w:w="80" w:type="dxa"/>
              <w:end w:w="100" w:type="dxa"/>
            </w:tcMar>
            <w:vAlign w:val="center"/>
          </w:tcPr>
          <w:p>
            <w:pPr>
              <w:spacing w:after="40" w:line="252" w:lineRule="auto"/>
            </w:pPr>
            <w:r>
              <w:rPr>
                <w:rFonts w:ascii="Arial" w:hAnsi="Arial" w:eastAsia="Arial"/>
                <w:b/>
                <w:color w:val="8F662A"/>
                <w:sz w:val="18"/>
              </w:rPr>
              <w:t>Controlled New Component</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A real gap exists and a new internal component is justified.</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No current layer cleanly owns the need and reuse would distort boundaries.</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Create a scoped runtime object with clear ownership and interfaces.</w:t>
            </w:r>
          </w:p>
        </w:tc>
      </w:tr>
      <w:tr>
        <w:tc>
          <w:tcPr>
            <w:tcW w:type="dxa" w:w="2412"/>
            <w:tcMar>
              <w:top w:w="80" w:type="dxa"/>
              <w:start w:w="100" w:type="dxa"/>
              <w:bottom w:w="80" w:type="dxa"/>
              <w:end w:w="100" w:type="dxa"/>
            </w:tcMar>
            <w:vAlign w:val="center"/>
          </w:tcPr>
          <w:p>
            <w:pPr>
              <w:spacing w:after="40" w:line="252" w:lineRule="auto"/>
            </w:pPr>
            <w:r>
              <w:rPr>
                <w:rFonts w:ascii="Arial" w:hAnsi="Arial" w:eastAsia="Arial"/>
                <w:b/>
                <w:color w:val="8F662A"/>
                <w:sz w:val="18"/>
              </w:rPr>
              <w:t>Conflict / Do Not Import</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The donor pattern undermines the architecture or creates misleading claims.</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The pattern collapses roles, hard-codes providers, bypasses approvals, or hides evidence.</w:t>
            </w:r>
          </w:p>
        </w:tc>
        <w:tc>
          <w:tcPr>
            <w:tcW w:type="dxa" w:w="2412"/>
            <w:tcMar>
              <w:top w:w="80" w:type="dxa"/>
              <w:start w:w="100" w:type="dxa"/>
              <w:bottom w:w="80" w:type="dxa"/>
              <w:end w:w="100" w:type="dxa"/>
            </w:tcMar>
            <w:vAlign w:val="center"/>
          </w:tcPr>
          <w:p>
            <w:pPr>
              <w:spacing w:after="40" w:line="252" w:lineRule="auto"/>
            </w:pPr>
            <w:r>
              <w:rPr>
                <w:rFonts w:ascii="Arial" w:hAnsi="Arial" w:eastAsia="Arial"/>
                <w:sz w:val="18"/>
              </w:rPr>
              <w:t>Reject the pattern or strip it down to the usable signal only.</w:t>
            </w:r>
          </w:p>
        </w:tc>
      </w:tr>
    </w:tbl>
    <w:p>
      <w:pPr>
        <w:pStyle w:val="SectionHead"/>
        <w:spacing w:before="200" w:after="120" w:line="276" w:lineRule="auto"/>
      </w:pPr>
      <w:r>
        <w:rPr>
          <w:rFonts w:ascii="Arial" w:hAnsi="Arial" w:eastAsia="Arial"/>
          <w:b w:val="0"/>
          <w:i w:val="0"/>
        </w:rPr>
        <w:t>6. Skill Layer Required to Make This Repeatable</w:t>
      </w:r>
    </w:p>
    <w:p>
      <w:pPr>
        <w:spacing w:before="0" w:after="80" w:line="276" w:lineRule="auto"/>
      </w:pPr>
      <w:r>
        <w:rPr>
          <w:rFonts w:ascii="Arial" w:hAnsi="Arial" w:eastAsia="Arial"/>
          <w:b w:val="0"/>
          <w:i w:val="0"/>
        </w:rPr>
        <w:t>The runtime needs skills that make intent interpretation, fit analysis, and gap discovery repeatable instead of leaving them to ad hoc chat decisions.</w:t>
      </w:r>
    </w:p>
    <w:p>
      <w:pPr>
        <w:spacing w:before="0" w:after="80" w:line="276" w:lineRule="auto"/>
      </w:pPr>
      <w:r>
        <w:rPr>
          <w:rFonts w:ascii="Arial" w:hAnsi="Arial" w:eastAsia="Arial"/>
          <w:b w:val="0"/>
          <w:i w:val="0"/>
        </w:rPr>
        <w:t>The existing direction already supports intent normalization, context capture, swarm planning, provider routing, review and hone, and BuildSmith activation. The recent work adds two more critical behaviors: an intent-fit advisor and a Boomer_Ang capability scout.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DE7F1"/>
            <w:tcMar>
              <w:top w:w="80" w:type="dxa"/>
              <w:start w:w="100" w:type="dxa"/>
              <w:bottom w:w="80" w:type="dxa"/>
              <w:end w:w="100" w:type="dxa"/>
            </w:tcMar>
          </w:tcPr>
          <w:p>
            <w:r>
              <w:rPr>
                <w:rFonts w:ascii="Arial" w:hAnsi="Arial" w:eastAsia="Arial"/>
                <w:b/>
                <w:color w:val="14304E"/>
                <w:sz w:val="18"/>
              </w:rPr>
              <w:t>Skill / Runtime Pattern</w:t>
            </w:r>
          </w:p>
        </w:tc>
        <w:tc>
          <w:tcPr>
            <w:tcW w:type="dxa" w:w="3216"/>
            <w:shd w:fill="DDE7F1"/>
            <w:tcMar>
              <w:top w:w="80" w:type="dxa"/>
              <w:start w:w="100" w:type="dxa"/>
              <w:bottom w:w="80" w:type="dxa"/>
              <w:end w:w="100" w:type="dxa"/>
            </w:tcMar>
          </w:tcPr>
          <w:p>
            <w:r>
              <w:rPr>
                <w:rFonts w:ascii="Arial" w:hAnsi="Arial" w:eastAsia="Arial"/>
                <w:b/>
                <w:color w:val="14304E"/>
                <w:sz w:val="18"/>
              </w:rPr>
              <w:t>Primary Job</w:t>
            </w:r>
          </w:p>
        </w:tc>
        <w:tc>
          <w:tcPr>
            <w:tcW w:type="dxa" w:w="3216"/>
            <w:shd w:fill="DDE7F1"/>
            <w:tcMar>
              <w:top w:w="80" w:type="dxa"/>
              <w:start w:w="100" w:type="dxa"/>
              <w:bottom w:w="80" w:type="dxa"/>
              <w:end w:w="100" w:type="dxa"/>
            </w:tcMar>
          </w:tcPr>
          <w:p>
            <w:r>
              <w:rPr>
                <w:rFonts w:ascii="Arial" w:hAnsi="Arial" w:eastAsia="Arial"/>
                <w:b/>
                <w:color w:val="14304E"/>
                <w:sz w:val="18"/>
              </w:rPr>
              <w:t>Output</w:t>
            </w:r>
          </w:p>
        </w:tc>
      </w:tr>
      <w:tr>
        <w:tc>
          <w:tcPr>
            <w:tcW w:type="dxa" w:w="3216"/>
            <w:tcMar>
              <w:top w:w="80" w:type="dxa"/>
              <w:start w:w="100" w:type="dxa"/>
              <w:bottom w:w="80" w:type="dxa"/>
              <w:end w:w="100" w:type="dxa"/>
            </w:tcMar>
            <w:vAlign w:val="center"/>
          </w:tcPr>
          <w:p>
            <w:pPr>
              <w:spacing w:after="40" w:line="252" w:lineRule="auto"/>
            </w:pPr>
            <w:r>
              <w:rPr>
                <w:rFonts w:ascii="Arial" w:hAnsi="Arial" w:eastAsia="Arial"/>
                <w:b/>
                <w:color w:val="14304E"/>
                <w:sz w:val="18"/>
              </w:rPr>
              <w:t>ACHEEVY Intent-Fit Interpreter / grammar-mim-fit-advisor</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Interpret donor input, disagree when necessary, identify the best ecosystem-native move.</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Fit verdict, rationale, ownership mapping, donor translation brief.</w:t>
            </w:r>
          </w:p>
        </w:tc>
      </w:tr>
      <w:tr>
        <w:tc>
          <w:tcPr>
            <w:tcW w:type="dxa" w:w="3216"/>
            <w:tcMar>
              <w:top w:w="80" w:type="dxa"/>
              <w:start w:w="100" w:type="dxa"/>
              <w:bottom w:w="80" w:type="dxa"/>
              <w:end w:w="100" w:type="dxa"/>
            </w:tcMar>
            <w:vAlign w:val="center"/>
          </w:tcPr>
          <w:p>
            <w:pPr>
              <w:spacing w:after="40" w:line="252" w:lineRule="auto"/>
            </w:pPr>
            <w:r>
              <w:rPr>
                <w:rFonts w:ascii="Arial" w:hAnsi="Arial" w:eastAsia="Arial"/>
                <w:b/>
                <w:color w:val="14304E"/>
                <w:sz w:val="18"/>
              </w:rPr>
              <w:t>Boomer_Ang Capability Scout</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Help Picker_Ang discover missing components, adapters, and runtime gaps without assuming that every outside feature requires net-new architecture.</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Gap report, ranked missing components, adapter candidates, handoff packet.</w:t>
            </w:r>
          </w:p>
        </w:tc>
      </w:tr>
      <w:tr>
        <w:tc>
          <w:tcPr>
            <w:tcW w:type="dxa" w:w="3216"/>
            <w:tcMar>
              <w:top w:w="80" w:type="dxa"/>
              <w:start w:w="100" w:type="dxa"/>
              <w:bottom w:w="80" w:type="dxa"/>
              <w:end w:w="100" w:type="dxa"/>
            </w:tcMar>
            <w:vAlign w:val="center"/>
          </w:tcPr>
          <w:p>
            <w:pPr>
              <w:spacing w:after="40" w:line="252" w:lineRule="auto"/>
            </w:pPr>
            <w:r>
              <w:rPr>
                <w:rFonts w:ascii="Arial" w:hAnsi="Arial" w:eastAsia="Arial"/>
                <w:b/>
                <w:color w:val="14304E"/>
                <w:sz w:val="18"/>
              </w:rPr>
              <w:t>grammar-intent-normalizer</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Convert layman language into structured technical intent.</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Technical interpretation, draft Context Pack, action graph.</w:t>
            </w:r>
          </w:p>
        </w:tc>
      </w:tr>
      <w:tr>
        <w:tc>
          <w:tcPr>
            <w:tcW w:type="dxa" w:w="3216"/>
            <w:tcMar>
              <w:top w:w="80" w:type="dxa"/>
              <w:start w:w="100" w:type="dxa"/>
              <w:bottom w:w="80" w:type="dxa"/>
              <w:end w:w="100" w:type="dxa"/>
            </w:tcMar>
            <w:vAlign w:val="center"/>
          </w:tcPr>
          <w:p>
            <w:pPr>
              <w:spacing w:after="40" w:line="252" w:lineRule="auto"/>
            </w:pPr>
            <w:r>
              <w:rPr>
                <w:rFonts w:ascii="Arial" w:hAnsi="Arial" w:eastAsia="Arial"/>
                <w:b/>
                <w:color w:val="14304E"/>
                <w:sz w:val="18"/>
              </w:rPr>
              <w:t>grammar-mim-context-capture</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Mine multimodal inputs and external analysis into governed context.</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Context enrichments, missing-context flags, structured asset descriptors.</w:t>
            </w:r>
          </w:p>
        </w:tc>
      </w:tr>
      <w:tr>
        <w:tc>
          <w:tcPr>
            <w:tcW w:type="dxa" w:w="3216"/>
            <w:tcMar>
              <w:top w:w="80" w:type="dxa"/>
              <w:start w:w="100" w:type="dxa"/>
              <w:bottom w:w="80" w:type="dxa"/>
              <w:end w:w="100" w:type="dxa"/>
            </w:tcMar>
            <w:vAlign w:val="center"/>
          </w:tcPr>
          <w:p>
            <w:pPr>
              <w:spacing w:after="40" w:line="252" w:lineRule="auto"/>
            </w:pPr>
            <w:r>
              <w:rPr>
                <w:rFonts w:ascii="Arial" w:hAnsi="Arial" w:eastAsia="Arial"/>
                <w:b/>
                <w:color w:val="14304E"/>
                <w:sz w:val="18"/>
              </w:rPr>
              <w:t>grammar-provider-router</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Route by capability class, score providers, define fallbacks.</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Capability matrix, ranked provider choices, fallback chain.</w:t>
            </w:r>
          </w:p>
        </w:tc>
      </w:tr>
      <w:tr>
        <w:tc>
          <w:tcPr>
            <w:tcW w:type="dxa" w:w="3216"/>
            <w:tcMar>
              <w:top w:w="80" w:type="dxa"/>
              <w:start w:w="100" w:type="dxa"/>
              <w:bottom w:w="80" w:type="dxa"/>
              <w:end w:w="100" w:type="dxa"/>
            </w:tcMar>
            <w:vAlign w:val="center"/>
          </w:tcPr>
          <w:p>
            <w:pPr>
              <w:spacing w:after="40" w:line="252" w:lineRule="auto"/>
            </w:pPr>
            <w:r>
              <w:rPr>
                <w:rFonts w:ascii="Arial" w:hAnsi="Arial" w:eastAsia="Arial"/>
                <w:b/>
                <w:color w:val="14304E"/>
                <w:sz w:val="18"/>
              </w:rPr>
              <w:t>grammar-review-and-hone</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Validate outputs against the Context Pack and evidence rules.</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Findings, severity, auto-fix options, package-readiness status.</w:t>
            </w:r>
          </w:p>
        </w:tc>
      </w:tr>
      <w:tr>
        <w:tc>
          <w:tcPr>
            <w:tcW w:type="dxa" w:w="3216"/>
            <w:tcMar>
              <w:top w:w="80" w:type="dxa"/>
              <w:start w:w="100" w:type="dxa"/>
              <w:bottom w:w="80" w:type="dxa"/>
              <w:end w:w="100" w:type="dxa"/>
            </w:tcMar>
            <w:vAlign w:val="center"/>
          </w:tcPr>
          <w:p>
            <w:pPr>
              <w:spacing w:after="40" w:line="252" w:lineRule="auto"/>
            </w:pPr>
            <w:r>
              <w:rPr>
                <w:rFonts w:ascii="Arial" w:hAnsi="Arial" w:eastAsia="Arial"/>
                <w:b/>
                <w:color w:val="14304E"/>
                <w:sz w:val="18"/>
              </w:rPr>
              <w:t>grammar-buildsmith-runner</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Translate approved plans into implementation and packaging tasks.</w:t>
            </w:r>
          </w:p>
        </w:tc>
        <w:tc>
          <w:tcPr>
            <w:tcW w:type="dxa" w:w="3216"/>
            <w:tcMar>
              <w:top w:w="80" w:type="dxa"/>
              <w:start w:w="100" w:type="dxa"/>
              <w:bottom w:w="80" w:type="dxa"/>
              <w:end w:w="100" w:type="dxa"/>
            </w:tcMar>
            <w:vAlign w:val="center"/>
          </w:tcPr>
          <w:p>
            <w:pPr>
              <w:spacing w:after="40" w:line="252" w:lineRule="auto"/>
            </w:pPr>
            <w:r>
              <w:rPr>
                <w:rFonts w:ascii="Arial" w:hAnsi="Arial" w:eastAsia="Arial"/>
                <w:sz w:val="18"/>
              </w:rPr>
              <w:t>Build tasks, artifact list, packaging path, delivery bundle plan.</w:t>
            </w:r>
          </w:p>
        </w:tc>
      </w:tr>
    </w:tbl>
    <w:p>
      <w:pPr>
        <w:pStyle w:val="SectionHead"/>
        <w:spacing w:before="200" w:after="120" w:line="276" w:lineRule="auto"/>
      </w:pPr>
      <w:r>
        <w:rPr>
          <w:rFonts w:ascii="Arial" w:hAnsi="Arial" w:eastAsia="Arial"/>
          <w:b w:val="0"/>
          <w:i w:val="0"/>
        </w:rPr>
        <w:t>7. Standard Runtime Flow for Donor Inputs</w:t>
      </w:r>
    </w:p>
    <w:p>
      <w:pPr>
        <w:spacing w:after="60" w:line="269" w:lineRule="auto"/>
        <w:ind w:left="173"/>
      </w:pPr>
      <w:r>
        <w:rPr>
          <w:rFonts w:ascii="Arial" w:hAnsi="Arial" w:eastAsia="Arial"/>
          <w:b/>
          <w:color w:val="14304E"/>
          <w:sz w:val="21"/>
        </w:rPr>
        <w:t xml:space="preserve">1. Intake  </w:t>
      </w:r>
      <w:r>
        <w:rPr>
          <w:rFonts w:ascii="Arial" w:hAnsi="Arial" w:eastAsia="Arial"/>
          <w:sz w:val="21"/>
        </w:rPr>
        <w:t>Receive the donor signal: update, repo, URL, feature description, user prompt, or screen reference.</w:t>
      </w:r>
    </w:p>
    <w:p>
      <w:pPr>
        <w:spacing w:after="60" w:line="269" w:lineRule="auto"/>
        <w:ind w:left="173"/>
      </w:pPr>
      <w:r>
        <w:rPr>
          <w:rFonts w:ascii="Arial" w:hAnsi="Arial" w:eastAsia="Arial"/>
          <w:b/>
          <w:color w:val="14304E"/>
          <w:sz w:val="21"/>
        </w:rPr>
        <w:t xml:space="preserve">2. NTNTN Interpretation  </w:t>
      </w:r>
      <w:r>
        <w:rPr>
          <w:rFonts w:ascii="Arial" w:hAnsi="Arial" w:eastAsia="Arial"/>
          <w:sz w:val="21"/>
        </w:rPr>
        <w:t>Determine the real objective behind the donor signal and strip away marketing language.</w:t>
      </w:r>
    </w:p>
    <w:p>
      <w:pPr>
        <w:spacing w:after="60" w:line="269" w:lineRule="auto"/>
        <w:ind w:left="173"/>
      </w:pPr>
      <w:r>
        <w:rPr>
          <w:rFonts w:ascii="Arial" w:hAnsi="Arial" w:eastAsia="Arial"/>
          <w:b/>
          <w:color w:val="14304E"/>
          <w:sz w:val="21"/>
        </w:rPr>
        <w:t xml:space="preserve">3. M.I.M. Normalization  </w:t>
      </w:r>
      <w:r>
        <w:rPr>
          <w:rFonts w:ascii="Arial" w:hAnsi="Arial" w:eastAsia="Arial"/>
          <w:sz w:val="21"/>
        </w:rPr>
        <w:t>Create or update the Context Pack with the interpreted objective, constraints, approvals, and delivery needs.</w:t>
      </w:r>
    </w:p>
    <w:p>
      <w:pPr>
        <w:spacing w:after="60" w:line="269" w:lineRule="auto"/>
        <w:ind w:left="173"/>
      </w:pPr>
      <w:r>
        <w:rPr>
          <w:rFonts w:ascii="Arial" w:hAnsi="Arial" w:eastAsia="Arial"/>
          <w:b/>
          <w:color w:val="14304E"/>
          <w:sz w:val="21"/>
        </w:rPr>
        <w:t xml:space="preserve">4. Intent-Fit Analysis  </w:t>
      </w:r>
      <w:r>
        <w:rPr>
          <w:rFonts w:ascii="Arial" w:hAnsi="Arial" w:eastAsia="Arial"/>
          <w:sz w:val="21"/>
        </w:rPr>
        <w:t>Determine whether the need belongs in native reuse, fortification, adapter integration, controlled new component, or conflict.</w:t>
      </w:r>
    </w:p>
    <w:p>
      <w:pPr>
        <w:spacing w:after="60" w:line="269" w:lineRule="auto"/>
        <w:ind w:left="173"/>
      </w:pPr>
      <w:r>
        <w:rPr>
          <w:rFonts w:ascii="Arial" w:hAnsi="Arial" w:eastAsia="Arial"/>
          <w:b/>
          <w:color w:val="14304E"/>
          <w:sz w:val="21"/>
        </w:rPr>
        <w:t xml:space="preserve">5. Capability Scout Pass  </w:t>
      </w:r>
      <w:r>
        <w:rPr>
          <w:rFonts w:ascii="Arial" w:hAnsi="Arial" w:eastAsia="Arial"/>
          <w:sz w:val="21"/>
        </w:rPr>
        <w:t>If a gap appears real, have the scout identify missing components, adapter routes, risks, and ownership impacts.</w:t>
      </w:r>
    </w:p>
    <w:p>
      <w:pPr>
        <w:spacing w:after="60" w:line="269" w:lineRule="auto"/>
        <w:ind w:left="173"/>
      </w:pPr>
      <w:r>
        <w:rPr>
          <w:rFonts w:ascii="Arial" w:hAnsi="Arial" w:eastAsia="Arial"/>
          <w:b/>
          <w:color w:val="14304E"/>
          <w:sz w:val="21"/>
        </w:rPr>
        <w:t xml:space="preserve">6. Picker_Ang Routing  </w:t>
      </w:r>
      <w:r>
        <w:rPr>
          <w:rFonts w:ascii="Arial" w:hAnsi="Arial" w:eastAsia="Arial"/>
          <w:sz w:val="21"/>
        </w:rPr>
        <w:t>Translate the approved path into capability requirements and ranked provider or tool choices.</w:t>
      </w:r>
    </w:p>
    <w:p>
      <w:pPr>
        <w:spacing w:after="60" w:line="269" w:lineRule="auto"/>
        <w:ind w:left="173"/>
      </w:pPr>
      <w:r>
        <w:rPr>
          <w:rFonts w:ascii="Arial" w:hAnsi="Arial" w:eastAsia="Arial"/>
          <w:b/>
          <w:color w:val="14304E"/>
          <w:sz w:val="21"/>
        </w:rPr>
        <w:t xml:space="preserve">7. BuildSmith / Workflow Activation  </w:t>
      </w:r>
      <w:r>
        <w:rPr>
          <w:rFonts w:ascii="Arial" w:hAnsi="Arial" w:eastAsia="Arial"/>
          <w:sz w:val="21"/>
        </w:rPr>
        <w:t>Turn the approved plan into implementation tasks, action-board nodes, and packaging requirements.</w:t>
      </w:r>
    </w:p>
    <w:p>
      <w:pPr>
        <w:spacing w:after="60" w:line="269" w:lineRule="auto"/>
        <w:ind w:left="173"/>
      </w:pPr>
      <w:r>
        <w:rPr>
          <w:rFonts w:ascii="Arial" w:hAnsi="Arial" w:eastAsia="Arial"/>
          <w:b/>
          <w:color w:val="14304E"/>
          <w:sz w:val="21"/>
        </w:rPr>
        <w:t xml:space="preserve">8. Review / Hone  </w:t>
      </w:r>
      <w:r>
        <w:rPr>
          <w:rFonts w:ascii="Arial" w:hAnsi="Arial" w:eastAsia="Arial"/>
          <w:sz w:val="21"/>
        </w:rPr>
        <w:t>Inspect the result against the Context Pack, policy, and truth-in-claims rules.</w:t>
      </w:r>
    </w:p>
    <w:p>
      <w:pPr>
        <w:spacing w:after="60" w:line="269" w:lineRule="auto"/>
        <w:ind w:left="173"/>
      </w:pPr>
      <w:r>
        <w:rPr>
          <w:rFonts w:ascii="Arial" w:hAnsi="Arial" w:eastAsia="Arial"/>
          <w:b/>
          <w:color w:val="14304E"/>
          <w:sz w:val="21"/>
        </w:rPr>
        <w:t xml:space="preserve">9. Packaging and Evidence  </w:t>
      </w:r>
      <w:r>
        <w:rPr>
          <w:rFonts w:ascii="Arial" w:hAnsi="Arial" w:eastAsia="Arial"/>
          <w:sz w:val="21"/>
        </w:rPr>
        <w:t>Package the manifest, evidence bundle, delivery artifacts, and final retrieval path.</w:t>
      </w:r>
    </w:p>
    <w:p>
      <w:pPr>
        <w:pStyle w:val="SectionHead"/>
        <w:spacing w:before="200" w:after="120" w:line="276" w:lineRule="auto"/>
      </w:pPr>
      <w:r>
        <w:rPr>
          <w:rFonts w:ascii="Arial" w:hAnsi="Arial" w:eastAsia="Arial"/>
          <w:b w:val="0"/>
          <w:i w:val="0"/>
        </w:rPr>
        <w:t>8. Real-Time and Triggered Scenarios</w:t>
      </w:r>
    </w:p>
    <w:p>
      <w:pPr>
        <w:spacing w:before="0" w:after="80" w:line="276" w:lineRule="auto"/>
      </w:pPr>
      <w:r>
        <w:rPr>
          <w:rFonts w:ascii="Arial" w:hAnsi="Arial" w:eastAsia="Arial"/>
          <w:b w:val="0"/>
          <w:i w:val="0"/>
        </w:rPr>
        <w:t>Real-time donor features must be translated into runtime requirements rather than copied as marketing statements. For GRAMMAR, that means event sources, trigger listeners, queueing, retries, timeout rules, permissions, approvals, board updates, audit traces, and recovery paths.</w:t>
      </w:r>
    </w:p>
    <w:p>
      <w:pPr>
        <w:spacing w:before="0" w:after="80" w:line="276" w:lineRule="auto"/>
      </w:pPr>
      <w:r>
        <w:rPr>
          <w:rFonts w:ascii="Arial" w:hAnsi="Arial" w:eastAsia="Arial"/>
          <w:b w:val="0"/>
          <w:i w:val="0"/>
        </w:rPr>
        <w:t>The Boomer_Ang capability scout should always test for the following before recommending a real-time adoption path: event source ownership, listener or webhook path, job runner, retry and timeout policy, approval behavior, audit logging, evidence capture, and fallback route.</w:t>
      </w:r>
    </w:p>
    <w:p>
      <w:pPr>
        <w:spacing w:before="0" w:after="80" w:line="276" w:lineRule="auto"/>
      </w:pPr>
      <w:r>
        <w:rPr>
          <w:rFonts w:ascii="Arial" w:hAnsi="Arial" w:eastAsia="Arial"/>
          <w:b w:val="0"/>
          <w:i w:val="0"/>
        </w:rPr>
        <w:t>If those elements do not already exist, the correct move is not to label the feature complete. The correct move is to classify the gap, assign ownership, and formalize the missing runtime work.</w:t>
      </w:r>
    </w:p>
    <w:p>
      <w:pPr>
        <w:pStyle w:val="SectionHead"/>
        <w:spacing w:before="200" w:after="120" w:line="276" w:lineRule="auto"/>
      </w:pPr>
      <w:r>
        <w:rPr>
          <w:rFonts w:ascii="Arial" w:hAnsi="Arial" w:eastAsia="Arial"/>
          <w:b w:val="0"/>
          <w:i w:val="0"/>
        </w:rPr>
        <w:t>9. Governance and Build Rules</w:t>
      </w:r>
    </w:p>
    <w:p>
      <w:pPr>
        <w:spacing w:after="60" w:line="264" w:lineRule="auto"/>
        <w:ind w:left="259"/>
      </w:pPr>
      <w:r>
        <w:rPr>
          <w:rFonts w:ascii="Arial" w:hAnsi="Arial" w:eastAsia="Arial"/>
          <w:sz w:val="21"/>
        </w:rPr>
        <w:t>•  API-first, lite UI second. The interface should remain subordinate to orchestration contracts, board state, reviewability, and packaging.</w:t>
      </w:r>
    </w:p>
    <w:p>
      <w:pPr>
        <w:spacing w:after="60" w:line="264" w:lineRule="auto"/>
        <w:ind w:left="259"/>
      </w:pPr>
      <w:r>
        <w:rPr>
          <w:rFonts w:ascii="Arial" w:hAnsi="Arial" w:eastAsia="Arial"/>
          <w:sz w:val="21"/>
        </w:rPr>
        <w:t>•  ASCII-first or MAP-first for major UI or workflow shifts before heavy execution begins.</w:t>
      </w:r>
    </w:p>
    <w:p>
      <w:pPr>
        <w:spacing w:after="60" w:line="264" w:lineRule="auto"/>
        <w:ind w:left="259"/>
      </w:pPr>
      <w:r>
        <w:rPr>
          <w:rFonts w:ascii="Arial" w:hAnsi="Arial" w:eastAsia="Arial"/>
          <w:sz w:val="21"/>
        </w:rPr>
        <w:t>•  Capability-class routing first, provider choice second.</w:t>
      </w:r>
    </w:p>
    <w:p>
      <w:pPr>
        <w:spacing w:after="60" w:line="264" w:lineRule="auto"/>
        <w:ind w:left="259"/>
      </w:pPr>
      <w:r>
        <w:rPr>
          <w:rFonts w:ascii="Arial" w:hAnsi="Arial" w:eastAsia="Arial"/>
          <w:sz w:val="21"/>
        </w:rPr>
        <w:t>•  Review before release and package before final handoff.</w:t>
      </w:r>
    </w:p>
    <w:p>
      <w:pPr>
        <w:spacing w:after="60" w:line="264" w:lineRule="auto"/>
        <w:ind w:left="259"/>
      </w:pPr>
      <w:r>
        <w:rPr>
          <w:rFonts w:ascii="Arial" w:hAnsi="Arial" w:eastAsia="Arial"/>
          <w:sz w:val="21"/>
        </w:rPr>
        <w:t>•  Every material change creates a new context revision in M.I.M.</w:t>
      </w:r>
    </w:p>
    <w:p>
      <w:pPr>
        <w:spacing w:after="60" w:line="264" w:lineRule="auto"/>
        <w:ind w:left="259"/>
      </w:pPr>
      <w:r>
        <w:rPr>
          <w:rFonts w:ascii="Arial" w:hAnsi="Arial" w:eastAsia="Arial"/>
          <w:sz w:val="21"/>
        </w:rPr>
        <w:t>•  Truth in claims applies to every status label and every delivery statement.</w:t>
      </w:r>
    </w:p>
    <w:p>
      <w:pPr>
        <w:spacing w:after="60" w:line="264" w:lineRule="auto"/>
        <w:ind w:left="259"/>
      </w:pPr>
      <w:r>
        <w:rPr>
          <w:rFonts w:ascii="Arial" w:hAnsi="Arial" w:eastAsia="Arial"/>
          <w:sz w:val="21"/>
        </w:rPr>
        <w:t>•  Evidence bundles are mandatory for serious deliverables.</w:t>
      </w:r>
    </w:p>
    <w:p>
      <w:pPr>
        <w:pStyle w:val="SectionHead"/>
        <w:spacing w:before="200" w:after="120" w:line="276" w:lineRule="auto"/>
      </w:pPr>
      <w:r>
        <w:rPr>
          <w:rFonts w:ascii="Arial" w:hAnsi="Arial" w:eastAsia="Arial"/>
          <w:b w:val="0"/>
          <w:i w:val="0"/>
        </w:rPr>
        <w:t>10. Immediate Build Directives</w:t>
      </w:r>
    </w:p>
    <w:p>
      <w:pPr>
        <w:spacing w:after="80" w:line="269" w:lineRule="auto"/>
        <w:ind w:left="259"/>
      </w:pPr>
      <w:r>
        <w:rPr>
          <w:rFonts w:ascii="Arial" w:hAnsi="Arial" w:eastAsia="Arial"/>
          <w:sz w:val="21"/>
        </w:rPr>
        <w:t>•  Implement the ACHEEVY intent-fit interpreter as a first-class runtime skill so donor inputs are analyzed consistently.</w:t>
      </w:r>
    </w:p>
    <w:p>
      <w:pPr>
        <w:spacing w:after="80" w:line="269" w:lineRule="auto"/>
        <w:ind w:left="259"/>
      </w:pPr>
      <w:r>
        <w:rPr>
          <w:rFonts w:ascii="Arial" w:hAnsi="Arial" w:eastAsia="Arial"/>
          <w:sz w:val="21"/>
        </w:rPr>
        <w:t>•  Pair that interpreter with the Boomer_Ang capability scout so gap discovery only happens after fit analysis says the gap is real.</w:t>
      </w:r>
    </w:p>
    <w:p>
      <w:pPr>
        <w:spacing w:after="80" w:line="269" w:lineRule="auto"/>
        <w:ind w:left="259"/>
      </w:pPr>
      <w:r>
        <w:rPr>
          <w:rFonts w:ascii="Arial" w:hAnsi="Arial" w:eastAsia="Arial"/>
          <w:sz w:val="21"/>
        </w:rPr>
        <w:t>•  Wire both behaviors into TKI, M.I.M. Context Pack generation, and action-board preparation.</w:t>
      </w:r>
    </w:p>
    <w:p>
      <w:pPr>
        <w:spacing w:after="80" w:line="269" w:lineRule="auto"/>
        <w:ind w:left="259"/>
      </w:pPr>
      <w:r>
        <w:rPr>
          <w:rFonts w:ascii="Arial" w:hAnsi="Arial" w:eastAsia="Arial"/>
          <w:sz w:val="21"/>
        </w:rPr>
        <w:t>•  Keep provider-neutrality intact by forcing any external service adoption through the capability registry and fallback model.</w:t>
      </w:r>
    </w:p>
    <w:p>
      <w:pPr>
        <w:spacing w:after="80" w:line="269" w:lineRule="auto"/>
        <w:ind w:left="259"/>
      </w:pPr>
      <w:r>
        <w:rPr>
          <w:rFonts w:ascii="Arial" w:hAnsi="Arial" w:eastAsia="Arial"/>
          <w:sz w:val="21"/>
        </w:rPr>
        <w:t>•  Treat outside repos and tools as donors, references, or adapters unless an explicit architectural decision upgrades them to a stronger role.</w:t>
      </w:r>
    </w:p>
    <w:p>
      <w:pPr>
        <w:pStyle w:val="SectionHead"/>
        <w:spacing w:before="200" w:after="120" w:line="276" w:lineRule="auto"/>
      </w:pPr>
      <w:r>
        <w:rPr>
          <w:rFonts w:ascii="Arial" w:hAnsi="Arial" w:eastAsia="Arial"/>
          <w:b w:val="0"/>
          <w:i w:val="0"/>
        </w:rPr>
        <w:t>11. Source Basis Used for This Memorandum</w:t>
      </w:r>
    </w:p>
    <w:p>
      <w:pPr>
        <w:spacing w:before="0" w:after="60" w:line="276" w:lineRule="auto"/>
      </w:pPr>
      <w:r>
        <w:rPr>
          <w:rFonts w:ascii="Arial" w:hAnsi="Arial" w:eastAsia="Arial"/>
          <w:b w:val="0"/>
          <w:i w:val="0"/>
        </w:rPr>
        <w:t>•  grammar_operating_guidebook_v4_1_final.md — current runtime identity, ownership boundaries, four-plane architecture, API-first priority, MAP gate, and repo interaction rules.</w:t>
      </w:r>
    </w:p>
    <w:p>
      <w:pPr>
        <w:spacing w:before="0" w:after="60" w:line="276" w:lineRule="auto"/>
      </w:pPr>
      <w:r>
        <w:rPr>
          <w:rFonts w:ascii="Arial" w:hAnsi="Arial" w:eastAsia="Arial"/>
          <w:b w:val="0"/>
          <w:i w:val="0"/>
        </w:rPr>
        <w:t>•  grammar_operating_guidebook_v4_integrated.md — integrated tool-stack direction, explicit runtime responsibilities, execution ownership mapping, and flow across LangGraph, DeerFlow, OpenSandbox, Playwright MCP, OpenRouter, and BuildSmith.</w:t>
      </w:r>
    </w:p>
    <w:p>
      <w:pPr>
        <w:spacing w:before="0" w:after="60" w:line="276" w:lineRule="auto"/>
      </w:pPr>
      <w:r>
        <w:rPr>
          <w:rFonts w:ascii="Arial" w:hAnsi="Arial" w:eastAsia="Arial"/>
          <w:b w:val="0"/>
          <w:i w:val="0"/>
        </w:rPr>
        <w:t>•  Conduct your deep dive to improve.md — deep-dive additions including capability classes, M.I.M. Context Capture Agent, FDH, LLL, review and hone standards, evidence bundles, Lucide Animated guidance, and universal build instruction blocks.</w:t>
      </w:r>
    </w:p>
    <w:p>
      <w:pPr>
        <w:spacing w:before="0" w:after="60" w:line="276" w:lineRule="auto"/>
      </w:pPr>
      <w:r>
        <w:rPr>
          <w:rFonts w:ascii="Arial" w:hAnsi="Arial" w:eastAsia="Arial"/>
          <w:b w:val="0"/>
          <w:i w:val="0"/>
        </w:rPr>
        <w:t>•  Recent working outputs — the intent-fit advisor framing and the Boomer_Ang capability scout framing that were created to operationalize donor-feature intake inside the current ecosystem.</w:t>
      </w:r>
    </w:p>
    <w:p>
      <w:pPr>
        <w:pStyle w:val="SubHead"/>
        <w:spacing w:before="200" w:after="100" w:line="276" w:lineRule="auto"/>
      </w:pPr>
      <w:r>
        <w:rPr>
          <w:rFonts w:ascii="Arial" w:hAnsi="Arial" w:eastAsia="Arial"/>
          <w:b w:val="0"/>
          <w:i w:val="0"/>
        </w:rPr>
        <w:t>Prepared Note</w:t>
      </w:r>
    </w:p>
    <w:p>
      <w:pPr>
        <w:spacing w:before="0" w:after="120" w:line="276" w:lineRule="auto"/>
      </w:pPr>
      <w:r>
        <w:rPr>
          <w:rFonts w:ascii="Arial" w:hAnsi="Arial" w:eastAsia="Arial"/>
          <w:b w:val="0"/>
          <w:i w:val="0"/>
        </w:rPr>
        <w:t>This memorandum is written as a standing alignment artifact. It is intended to guide further build decisions, skill packaging, runtime wiring, and product-language discipline without collapsing the architecture into a single all-in-one agent model.</w:t>
      </w:r>
    </w:p>
    <w:p>
      <w:pPr>
        <w:spacing w:before="160" w:after="80"/>
      </w:pPr>
      <w:r>
        <w:rPr>
          <w:rFonts w:ascii="Arial" w:hAnsi="Arial" w:eastAsia="Arial"/>
          <w:b/>
          <w:color w:val="8F662A"/>
          <w:sz w:val="23"/>
        </w:rPr>
        <w:t>Working Questions for Next Draft</w:t>
      </w:r>
    </w:p>
    <w:p>
      <w:pPr>
        <w:spacing w:after="80" w:line="269" w:lineRule="auto"/>
        <w:ind w:left="259"/>
      </w:pPr>
      <w:r>
        <w:rPr>
          <w:rFonts w:ascii="Arial" w:hAnsi="Arial" w:eastAsia="Arial"/>
          <w:sz w:val="21"/>
        </w:rPr>
        <w:t>•  Should the intent-fit interpreter and capability scout remain separate skills or be chained automatically in one donor-intake workflow?</w:t>
      </w:r>
    </w:p>
    <w:p>
      <w:pPr>
        <w:spacing w:after="80" w:line="269" w:lineRule="auto"/>
        <w:ind w:left="259"/>
      </w:pPr>
      <w:r>
        <w:rPr>
          <w:rFonts w:ascii="Arial" w:hAnsi="Arial" w:eastAsia="Arial"/>
          <w:sz w:val="21"/>
        </w:rPr>
        <w:t>•  Which board nodes should be mandatory before BuildSmith activation when the donor input changes runtime behavior rather than only UI behavior?</w:t>
      </w:r>
    </w:p>
    <w:p>
      <w:pPr>
        <w:spacing w:after="80" w:line="269" w:lineRule="auto"/>
        <w:ind w:left="259"/>
      </w:pPr>
      <w:r>
        <w:rPr>
          <w:rFonts w:ascii="Arial" w:hAnsi="Arial" w:eastAsia="Arial"/>
          <w:sz w:val="21"/>
        </w:rPr>
        <w:t>•  What minimum registry metadata is required before a new adapter can be listed as a routable capability option?</w:t>
      </w:r>
    </w:p>
    <w:p>
      <w:pPr>
        <w:spacing w:after="80" w:line="269" w:lineRule="auto"/>
        <w:ind w:left="259"/>
      </w:pPr>
      <w:r>
        <w:rPr>
          <w:rFonts w:ascii="Arial" w:hAnsi="Arial" w:eastAsia="Arial"/>
          <w:sz w:val="21"/>
        </w:rPr>
        <w:t>•  What is the minimum evidence bundle needed before a donor-inspired feature can move from implementation to reviewed status?</w:t>
      </w:r>
    </w:p>
    <w:sectPr w:rsidR="00FC693F" w:rsidRPr="0006063C" w:rsidSect="00034616">
      <w:headerReference w:type="default" r:id="rId9"/>
      <w:footerReference w:type="default" r:id="rId10"/>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A5A5A"/>
        <w:sz w:val="16"/>
      </w:rPr>
      <w:t>Draft v1.0 | March 11,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A5A5A"/>
        <w:sz w:val="16"/>
      </w:rPr>
      <w:t>GRAMMAR Runtime Alignment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Title">
    <w:name w:val="MemoTitle"/>
    <w:basedOn w:val="Title"/>
    <w:rPr>
      <w:rFonts w:ascii="Arial" w:hAnsi="Arial" w:eastAsia="Arial"/>
      <w:b/>
      <w:color w:val="14304E"/>
      <w:sz w:val="40"/>
    </w:rPr>
  </w:style>
  <w:style w:type="paragraph" w:customStyle="1" w:styleId="SectionHead">
    <w:name w:val="SectionHead"/>
    <w:basedOn w:val="Heading1"/>
    <w:rPr>
      <w:rFonts w:ascii="Arial" w:hAnsi="Arial" w:eastAsia="Arial"/>
      <w:b/>
      <w:color w:val="14304E"/>
      <w:sz w:val="28"/>
    </w:rPr>
  </w:style>
  <w:style w:type="paragraph" w:customStyle="1" w:styleId="SubHead">
    <w:name w:val="SubHead"/>
    <w:basedOn w:val="Heading2"/>
    <w:rPr>
      <w:rFonts w:ascii="Arial" w:hAnsi="Arial" w:eastAsia="Arial"/>
      <w:b/>
      <w:color w:val="8F662A"/>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