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AgroVision-Mine: A Multimodal Data Warehouse and Visual Pattern Mining Framework for Crop Disease and Pest Intelligence</w:t>
      </w:r>
    </w:p>
    <w:tbl>
      <w:tblPr>
        <w:tblW w:type="auto" w:w="0"/>
        <w:jc w:val="center"/>
        <w:tblLayout w:type="fixed"/>
        <w:tblLook w:firstColumn="1" w:firstRow="1" w:lastColumn="0" w:lastRow="0" w:noHBand="0" w:noVBand="1" w:val="04A0"/>
      </w:tblPr>
      <w:tblGrid>
        <w:gridCol w:w="3480"/>
        <w:gridCol w:w="3480"/>
        <w:gridCol w:w="3480"/>
      </w:tblGrid>
      <w:tr>
        <w:tc>
          <w:tcPr>
            <w:tcW w:type="dxa" w:w="3456"/>
          </w:tcPr>
          <w:p>
            <w:pPr>
              <w:spacing w:before="0" w:after="40"/>
              <w:jc w:val="center"/>
            </w:pPr>
            <w:r>
              <w:rPr>
                <w:rFonts w:ascii="Times New Roman" w:hAnsi="Times New Roman"/>
                <w:b/>
                <w:sz w:val="21"/>
              </w:rPr>
              <w:t>Boomika V</w:t>
              <w:br/>
            </w:r>
            <w:r>
              <w:rPr>
                <w:rFonts w:ascii="Times New Roman" w:hAnsi="Times New Roman"/>
                <w:i/>
                <w:sz w:val="17"/>
              </w:rPr>
              <w:t>School of Computer Science &amp; Eng. (SCOPE)</w:t>
              <w:br/>
              <w:t>Vellore Institute of Technology (VIT)</w:t>
              <w:br/>
              <w:t>Chennai, Tamil Nadu, India</w:t>
              <w:br/>
              <w:t>boomika.v2023@vitstudent.ac.in</w:t>
            </w:r>
          </w:p>
        </w:tc>
        <w:tc>
          <w:tcPr>
            <w:tcW w:type="dxa" w:w="3456"/>
          </w:tcPr>
          <w:p>
            <w:pPr>
              <w:spacing w:before="0" w:after="40"/>
              <w:jc w:val="center"/>
            </w:pPr>
            <w:r>
              <w:rPr>
                <w:rFonts w:ascii="Times New Roman" w:hAnsi="Times New Roman"/>
                <w:b/>
                <w:sz w:val="21"/>
              </w:rPr>
              <w:t>Ajay M</w:t>
              <w:br/>
            </w:r>
            <w:r>
              <w:rPr>
                <w:rFonts w:ascii="Times New Roman" w:hAnsi="Times New Roman"/>
                <w:i/>
                <w:sz w:val="17"/>
              </w:rPr>
              <w:t>School of Computer Science &amp; Eng. (SCOPE)</w:t>
              <w:br/>
              <w:t>Vellore Institute of Technology (VIT)</w:t>
              <w:br/>
              <w:t>Chennai, Tamil Nadu, India</w:t>
              <w:br/>
              <w:t>ajay.m2023@vitstudent.ac.in</w:t>
            </w:r>
          </w:p>
        </w:tc>
        <w:tc>
          <w:tcPr>
            <w:tcW w:type="dxa" w:w="3456"/>
          </w:tcPr>
          <w:p>
            <w:pPr>
              <w:spacing w:before="0" w:after="40"/>
              <w:jc w:val="center"/>
            </w:pPr>
            <w:r>
              <w:rPr>
                <w:rFonts w:ascii="Times New Roman" w:hAnsi="Times New Roman"/>
                <w:b/>
                <w:sz w:val="21"/>
              </w:rPr>
              <w:t>Dr. Devipriya A</w:t>
              <w:br/>
            </w:r>
            <w:r>
              <w:rPr>
                <w:rFonts w:ascii="Times New Roman" w:hAnsi="Times New Roman"/>
                <w:i/>
                <w:sz w:val="17"/>
              </w:rPr>
              <w:t>Associate Professor, SCOPE</w:t>
              <w:br/>
              <w:t>Vellore Institute of Technology (VIT)</w:t>
              <w:br/>
              <w:t>Chennai, Tamil Nadu, India</w:t>
              <w:br/>
              <w:t>devipriya.a@vit.ac.in</w:t>
            </w:r>
          </w:p>
        </w:tc>
      </w:tr>
    </w:tbl>
    <w:p>
      <w:pPr>
        <w:spacing w:before="200" w:after="0"/>
      </w:pPr>
    </w:p>
    <w:p>
      <w:pPr>
        <w:spacing w:line="252" w:lineRule="auto" w:after="80"/>
        <w:jc w:val="both"/>
      </w:pPr>
      <w:r>
        <w:rPr>
          <w:rFonts w:ascii="Times New Roman" w:hAnsi="Times New Roman"/>
          <w:b/>
          <w:i/>
          <w:sz w:val="18"/>
        </w:rPr>
        <w:t>Abstract—</w:t>
      </w:r>
      <w:r>
        <w:rPr>
          <w:rFonts w:ascii="Times New Roman" w:hAnsi="Times New Roman"/>
          <w:b/>
          <w:sz w:val="18"/>
        </w:rPr>
        <w:t>Contemporary agricultural computer vision models predominantly formulate plant pathology as an isolated, single-image classification task, decoupling high-dimensional pixel data from botanical taxonomy, capture metadata, and relational analytical workflows. Consequently, agronomists and decision-support systems cannot perform multidimensional slicing across pathogen families or audit visual quality across heterogeneous acquisitions. In this paper, we propose AgroVision-Mine, a unified, reproducible multimodal data warehousing and visual pattern mining framework for foliar disease intelligence. The framework integrates an automated five-stage quality gate pipeline, a 32-dimensional explainable visual descriptor engine (19 color moments, 7 Haralick textures, and 6 morphometric metrics), and a Kimball-style dimensional data warehouse in SQLite with verified referential integrity across 2,596 canonical observations spanning 14 host crops. On top of this relational substrate, we implement sub-35 ms ANSI SQL OLAP operations (Roll-up, Drill-down, Slice, Dice, and Pivot), metric-supported visual clustering (K=2 primary Silhouette score of 0.4060), 2D PCA projection (52.11% cumulative explained variance), and association rule mining exhibiting 100% algorithmic parity between Apriori and FP-Growth (Delta = 0.0). To deliver bounded diagnostic support, we develop a supervised deep learning module using transfer learning with EfficientNet-B0 across 25 composite crop-condition classes (2,447 PlantDoc images). Under strict perceptual difference-hash (dHash) grouped partitioning that eliminates near-duplicate leakage, EfficientNet-B0 achieves 63.26% validation Macro-F1 (substantially outperforming handcrafted Random Forest at 17.02% and RBF-SVM at 15.12%) and achieves 61.84% Top-1 Accuracy (61.43% Balanced Accuracy, 60.84% Macro-F1, Wilson 95% CI: [57.46%, 66.03%]) on 490 held-out test images. Finally, we formulate a cross-modal domain verification safeguard that detects out-of-distribution acquisitions—such as flatbed scanner rice leaf images (N=36)—preventing false diagnostic attributions on unsupported botanical domains. The complete framework is verified through 117 automated unit, integration, and browser end-to-end tests.</w:t>
      </w:r>
    </w:p>
    <w:p>
      <w:pPr>
        <w:spacing w:line="252" w:lineRule="auto" w:after="280"/>
        <w:jc w:val="both"/>
      </w:pPr>
      <w:r>
        <w:rPr>
          <w:rFonts w:ascii="Times New Roman" w:hAnsi="Times New Roman"/>
          <w:b/>
          <w:i/>
          <w:sz w:val="18"/>
        </w:rPr>
        <w:t>Index Terms—</w:t>
      </w:r>
      <w:r>
        <w:rPr>
          <w:rFonts w:ascii="Times New Roman" w:hAnsi="Times New Roman"/>
          <w:i/>
          <w:sz w:val="18"/>
        </w:rPr>
        <w:t>Agricultural Computer Vision, Multimodal Data Warehouse, OLAP Analytics, Feature Engineering, Transfer Learning, EfficientNet-B0, Association Rule Mining, Out-of-Distribution Detection.</w:t>
      </w:r>
    </w:p>
    <w:p>
      <w:pPr>
        <w:sectPr>
          <w:pgSz w:w="12240" w:h="15840"/>
          <w:pgMar w:top="1080" w:right="900" w:bottom="1440" w:left="900" w:header="720" w:footer="720" w:gutter="0"/>
          <w:cols w:space="720"/>
          <w:docGrid w:linePitch="360"/>
        </w:sectPr>
      </w:pPr>
    </w:p>
    <w:p>
      <w:pPr>
        <w:keepNext/>
        <w:spacing w:before="160" w:after="40"/>
        <w:jc w:val="center"/>
      </w:pPr>
      <w:r>
        <w:rPr>
          <w:rFonts w:ascii="Times New Roman" w:hAnsi="Times New Roman"/>
          <w:b/>
          <w:sz w:val="20"/>
        </w:rPr>
        <w:t>I. INTRODUCTION</w:t>
      </w:r>
    </w:p>
    <w:p>
      <w:pPr>
        <w:spacing w:line="245" w:lineRule="auto" w:before="0" w:after="30"/>
        <w:ind w:firstLine="259"/>
        <w:jc w:val="both"/>
      </w:pPr>
      <w:r>
        <w:rPr>
          <w:rFonts w:ascii="Times New Roman" w:hAnsi="Times New Roman"/>
          <w:sz w:val="18"/>
        </w:rPr>
        <w:t>Global food security is profoundly threatened by agricultural plant pathogens and foliar pests, which cause estimated global harvest yield losses ranging from 20% to 40% annually [1]. Timely, accurate pathological identification is vital to containment; however, manual expert agronomist scouting is labor-intensive, logistically constrained, and inaccessible to smallholder farming communities [2]. While deep convolutional neural networks (CNNs) have shown exceptional perceptual capability in controlled laboratory benchmarks such as PlantVillage [3], [4], practical deployments in natural, unconstrained farm environments face severe performance degradation [5], [6].</w:t>
      </w:r>
    </w:p>
    <w:p>
      <w:pPr>
        <w:spacing w:line="245" w:lineRule="auto" w:before="0" w:after="30"/>
        <w:ind w:firstLine="259"/>
        <w:jc w:val="both"/>
      </w:pPr>
      <w:r>
        <w:rPr>
          <w:rFonts w:ascii="Times New Roman" w:hAnsi="Times New Roman"/>
          <w:sz w:val="18"/>
        </w:rPr>
        <w:t>Crucially, existing agricultural deep learning systems treat foliar pathology as an isolated black-box classification exercise. Three fundamental structural deficiencies characterize conventional paradigms:</w:t>
      </w:r>
    </w:p>
    <w:p>
      <w:pPr>
        <w:spacing w:line="245" w:lineRule="auto" w:before="0" w:after="30"/>
        <w:ind w:firstLine="259"/>
        <w:jc w:val="both"/>
      </w:pPr>
      <w:r>
        <w:rPr>
          <w:rFonts w:ascii="Times New Roman" w:hAnsi="Times New Roman"/>
          <w:b/>
          <w:sz w:val="18"/>
        </w:rPr>
        <w:t xml:space="preserve">1) Metadata and Relational Decoupling: </w:t>
      </w:r>
      <w:r>
        <w:rPr>
          <w:rFonts w:ascii="Times New Roman" w:hAnsi="Times New Roman"/>
          <w:sz w:val="18"/>
        </w:rPr>
        <w:t>High-dimensional foliar imagery is divorced from relational botanical taxonomy (crop family, genus, order), capture equipment parameters (sensor resolution, lighting, aspect ratio), and epidemiological hierarchies (fungal, bacterial, viral, abiotic) [7]. Agronomists cannot perform relational slicing (e.g., comparing necrotic lesion expansion across Solanaceae crops versus Fabaceae crops).</w:t>
      </w:r>
    </w:p>
    <w:p>
      <w:pPr>
        <w:spacing w:line="245" w:lineRule="auto" w:before="0" w:after="30"/>
        <w:ind w:firstLine="259"/>
        <w:jc w:val="both"/>
      </w:pPr>
      <w:r>
        <w:rPr>
          <w:rFonts w:ascii="Times New Roman" w:hAnsi="Times New Roman"/>
          <w:b/>
          <w:sz w:val="18"/>
        </w:rPr>
        <w:t xml:space="preserve">2) Lack of Pre-Ingestion Data Governance: </w:t>
      </w:r>
      <w:r>
        <w:rPr>
          <w:rFonts w:ascii="Times New Roman" w:hAnsi="Times New Roman"/>
          <w:sz w:val="18"/>
        </w:rPr>
        <w:t>Public agricultural corpora scraped from web sources frequently suffer from truncated byte streams, corrupted image headers, duplicate frames, and unstandardized orientations [5]. Conventional deep learning pipelines silently consume these anomalies, leading to latent bias and unverified dataset provenance [8].</w:t>
      </w:r>
    </w:p>
    <w:p>
      <w:pPr>
        <w:spacing w:line="245" w:lineRule="auto" w:before="0" w:after="30"/>
        <w:ind w:firstLine="259"/>
        <w:jc w:val="both"/>
      </w:pPr>
      <w:r>
        <w:rPr>
          <w:rFonts w:ascii="Times New Roman" w:hAnsi="Times New Roman"/>
          <w:b/>
          <w:sz w:val="18"/>
        </w:rPr>
        <w:t xml:space="preserve">3) Confounding and Shortcut Learning: </w:t>
      </w:r>
      <w:r>
        <w:rPr>
          <w:rFonts w:ascii="Times New Roman" w:hAnsi="Times New Roman"/>
          <w:sz w:val="18"/>
        </w:rPr>
        <w:t>As demonstrated by Geirhos et al. [9], deep networks frequently latch onto spurious background shortcuts (e.g., flatbed scanner backgrounds, soil textures, or acquisition framing) rather than genuine pathological lesions. An unconditioned binary classifier (Healthy vs. Diseased) trained across heterogeneous crops is fundamentally confounded when certain host species in the training corpus possess only healthy or only diseased specimens.</w:t>
      </w:r>
    </w:p>
    <w:p>
      <w:pPr>
        <w:spacing w:line="245" w:lineRule="auto" w:before="0" w:after="30"/>
        <w:ind w:firstLine="259"/>
        <w:jc w:val="both"/>
      </w:pPr>
      <w:r>
        <w:rPr>
          <w:rFonts w:ascii="Times New Roman" w:hAnsi="Times New Roman"/>
          <w:sz w:val="18"/>
        </w:rPr>
        <w:t>To resolve these practical and methodological challenges, we introduce AgroVision-Mine, an open, reproducible, and verifiable multimodal data warehousing and visual pattern mining platform. AgroVision-Mine integrates relational dimensional modeling with explainable classical computer vision descriptors and bounded deep transfer learning. Rather than proposing an ungrounded black-box architecture, our framework enforces strict data governance, cryptographic dataset immutability, sub-35 ms relational Online Analytical Processing (OLAP) queries, and rigorous statistical hypothesis validation.</w:t>
      </w:r>
    </w:p>
    <w:p>
      <w:pPr>
        <w:keepNext/>
        <w:spacing w:before="120" w:after="30"/>
        <w:jc w:val="left"/>
      </w:pPr>
      <w:r>
        <w:rPr>
          <w:rFonts w:ascii="Times New Roman" w:hAnsi="Times New Roman"/>
          <w:b/>
          <w:i/>
          <w:sz w:val="19"/>
        </w:rPr>
        <w:t>A. Principal Contributions</w:t>
      </w:r>
    </w:p>
    <w:p>
      <w:pPr>
        <w:spacing w:line="245" w:lineRule="auto" w:before="0" w:after="30"/>
        <w:ind w:firstLine="259"/>
        <w:jc w:val="both"/>
      </w:pPr>
      <w:r>
        <w:rPr>
          <w:rFonts w:ascii="Times New Roman" w:hAnsi="Times New Roman"/>
          <w:sz w:val="18"/>
        </w:rPr>
        <w:t>The primary scientific and technical contributions of this investigation are:</w:t>
      </w:r>
    </w:p>
    <w:p>
      <w:pPr>
        <w:spacing w:line="245" w:lineRule="auto" w:before="0" w:after="30"/>
        <w:ind w:firstLine="259"/>
        <w:jc w:val="both"/>
      </w:pPr>
      <w:r>
        <w:rPr>
          <w:rFonts w:ascii="Times New Roman" w:hAnsi="Times New Roman"/>
          <w:b/>
          <w:sz w:val="18"/>
        </w:rPr>
        <w:t xml:space="preserve">• End-to-End Data Governance: </w:t>
      </w:r>
      <w:r>
        <w:rPr>
          <w:rFonts w:ascii="Times New Roman" w:hAnsi="Times New Roman"/>
          <w:sz w:val="18"/>
        </w:rPr>
        <w:t>We design and implement an automated five-stage quality gate enforcing header magic-byte verification, minimum spatial geometry, payload limits, MD5 hash deduplication, and EXIF transposition, guaranteeing zero corrupted or duplicate records enter the canonical warehouse.</w:t>
      </w:r>
    </w:p>
    <w:p>
      <w:pPr>
        <w:spacing w:line="245" w:lineRule="auto" w:before="0" w:after="30"/>
        <w:ind w:firstLine="259"/>
        <w:jc w:val="both"/>
      </w:pPr>
      <w:r>
        <w:rPr>
          <w:rFonts w:ascii="Times New Roman" w:hAnsi="Times New Roman"/>
          <w:b/>
          <w:sz w:val="18"/>
        </w:rPr>
        <w:t xml:space="preserve">• Multimodal Kimball Star Schema: </w:t>
      </w:r>
      <w:r>
        <w:rPr>
          <w:rFonts w:ascii="Times New Roman" w:hAnsi="Times New Roman"/>
          <w:sz w:val="18"/>
        </w:rPr>
        <w:t>We architect a formal relational star schema in SQLite with native foreign-key constraints (PRAGMA foreign_keys = ON), linking a central fact table of 2,596 validated specimen observations to four normalized dimensions (dim_crop, dim_disease, dim_image, and dim_visual_feature).</w:t>
      </w:r>
    </w:p>
    <w:p>
      <w:pPr>
        <w:spacing w:line="245" w:lineRule="auto" w:before="0" w:after="30"/>
        <w:ind w:firstLine="259"/>
        <w:jc w:val="both"/>
      </w:pPr>
      <w:r>
        <w:rPr>
          <w:rFonts w:ascii="Times New Roman" w:hAnsi="Times New Roman"/>
          <w:b/>
          <w:sz w:val="18"/>
        </w:rPr>
        <w:t xml:space="preserve">• ANSI SQL-Backed OLAP Engine: </w:t>
      </w:r>
      <w:r>
        <w:rPr>
          <w:rFonts w:ascii="Times New Roman" w:hAnsi="Times New Roman"/>
          <w:sz w:val="18"/>
        </w:rPr>
        <w:t>We implement real SQL-backed Roll-up, Drill-down, Slice, Dice, and Pivot operations, providing agronomists with multi-dimensional analytical views across botanical families and pathogen classes with query execution latencies below 35 ms.</w:t>
      </w:r>
    </w:p>
    <w:p>
      <w:pPr>
        <w:spacing w:line="245" w:lineRule="auto" w:before="0" w:after="30"/>
        <w:ind w:firstLine="259"/>
        <w:jc w:val="both"/>
      </w:pPr>
      <w:r>
        <w:rPr>
          <w:rFonts w:ascii="Times New Roman" w:hAnsi="Times New Roman"/>
          <w:b/>
          <w:sz w:val="18"/>
        </w:rPr>
        <w:t xml:space="preserve">• Explainable 32D Visual Feature Store: </w:t>
      </w:r>
      <w:r>
        <w:rPr>
          <w:rFonts w:ascii="Times New Roman" w:hAnsi="Times New Roman"/>
          <w:sz w:val="18"/>
        </w:rPr>
        <w:t>We engineer an explainable descriptor vector space combining 19 Color Moments, 7 Haralick Gray-Level Co-occurrence Matrix (GLCM) textural metrics, and 6 Morphometric contours, providing transparent physical features alongside deep neural embeddings.</w:t>
      </w:r>
    </w:p>
    <w:p>
      <w:pPr>
        <w:spacing w:line="245" w:lineRule="auto" w:before="0" w:after="30"/>
        <w:ind w:firstLine="259"/>
        <w:jc w:val="both"/>
      </w:pPr>
      <w:r>
        <w:rPr>
          <w:rFonts w:ascii="Times New Roman" w:hAnsi="Times New Roman"/>
          <w:b/>
          <w:sz w:val="18"/>
        </w:rPr>
        <w:t xml:space="preserve">• Dual-Track Pattern Mining: </w:t>
      </w:r>
      <w:r>
        <w:rPr>
          <w:rFonts w:ascii="Times New Roman" w:hAnsi="Times New Roman"/>
          <w:sz w:val="18"/>
        </w:rPr>
        <w:t>We demonstrate optimal unsupervised visual clustering (K=2 Silhouette score 0.4060) and 2D Principal Component Analysis (52.11% explained variance), coupled with association rule mining demonstrating 100% algorithmic parity between Apriori and FP-Growth (Delta = 0.0000 across support, confidence, and lift).</w:t>
      </w:r>
    </w:p>
    <w:p>
      <w:pPr>
        <w:spacing w:line="245" w:lineRule="auto" w:before="0" w:after="30"/>
        <w:ind w:firstLine="259"/>
        <w:jc w:val="both"/>
      </w:pPr>
      <w:r>
        <w:rPr>
          <w:rFonts w:ascii="Times New Roman" w:hAnsi="Times New Roman"/>
          <w:b/>
          <w:sz w:val="18"/>
        </w:rPr>
        <w:t xml:space="preserve">• Bounded Supervised Classification: </w:t>
      </w:r>
      <w:r>
        <w:rPr>
          <w:rFonts w:ascii="Times New Roman" w:hAnsi="Times New Roman"/>
          <w:sz w:val="18"/>
        </w:rPr>
        <w:t>We evaluate an EfficientNet-B0 transfer learning module on a 25-class composite foliar benchmark (2,447 PlantDoc images) partitioned via grouped perceptual difference-hashing (dHash). The model achieves 63.26% validation Macro-F1 (vs. 17.02% for Random Forest) and 61.84% Top-1 Accuracy (60.84% Macro-F1, Wilson 95% CI: [57.46%, 66.03%]) on 490 held-out test images.</w:t>
      </w:r>
    </w:p>
    <w:p>
      <w:pPr>
        <w:spacing w:line="245" w:lineRule="auto" w:before="0" w:after="30"/>
        <w:ind w:firstLine="259"/>
        <w:jc w:val="both"/>
      </w:pPr>
      <w:r>
        <w:rPr>
          <w:rFonts w:ascii="Times New Roman" w:hAnsi="Times New Roman"/>
          <w:b/>
          <w:sz w:val="18"/>
        </w:rPr>
        <w:t xml:space="preserve">• Cross-Modal Out-of-Domain Safeguard: </w:t>
      </w:r>
      <w:r>
        <w:rPr>
          <w:rFonts w:ascii="Times New Roman" w:hAnsi="Times New Roman"/>
          <w:sz w:val="18"/>
        </w:rPr>
        <w:t>We formulate an automated rejection mechanism utilizing 32D descriptor nearest-reference retrieval to flag out-of-distribution acquisitions (e.g., flatbed scanner rice leaf observations, N=36), preventing false clinical claims on unseen botanical domains.</w:t>
      </w:r>
    </w:p>
    <w:p>
      <w:pPr>
        <w:keepNext/>
        <w:spacing w:before="160" w:after="40"/>
        <w:jc w:val="center"/>
      </w:pPr>
      <w:r>
        <w:rPr>
          <w:rFonts w:ascii="Times New Roman" w:hAnsi="Times New Roman"/>
          <w:b/>
          <w:sz w:val="20"/>
        </w:rPr>
        <w:t>II. RELATED WORK AND RESEARCH GAP</w:t>
      </w:r>
    </w:p>
    <w:p>
      <w:pPr>
        <w:spacing w:line="245" w:lineRule="auto" w:before="0" w:after="30"/>
        <w:ind w:firstLine="259"/>
        <w:jc w:val="both"/>
      </w:pPr>
      <w:r>
        <w:rPr>
          <w:rFonts w:ascii="Times New Roman" w:hAnsi="Times New Roman"/>
          <w:sz w:val="18"/>
        </w:rPr>
        <w:t>The application of deep convolutional neural networks to foliar disease identification accelerated with the release of the PlantVillage benchmark [3]. Mohanty et al. [2] evaluated AlexNet and GoogLeNet architectures across 54,306 laboratory images, reporting classification accuracies exceeding 99.3%. Similarly, Ferentinos [4] benchmarked VGG, ResNet, and DenseNet architectures, achieving 99.5% accuracy. However, subsequent critical evaluations by Barbedo [1] and Singh et al. [5] revealed that these laboratory-trained models fail catastrophically when exposed to in-the-wild field conditions. Background homogeneity, uniform lighting, and lack of occlusions in laboratory settings act as spurious non-pathological shortcuts [9].</w:t>
      </w:r>
    </w:p>
    <w:p>
      <w:pPr>
        <w:spacing w:line="245" w:lineRule="auto" w:before="0" w:after="30"/>
        <w:ind w:firstLine="259"/>
        <w:jc w:val="both"/>
      </w:pPr>
      <w:r>
        <w:rPr>
          <w:rFonts w:ascii="Times New Roman" w:hAnsi="Times New Roman"/>
          <w:sz w:val="18"/>
        </w:rPr>
        <w:t>To bridge this gap, Singh et al. [5] introduced the PlantDoc dataset, comprising 2,560 authentic field images captured across natural lighting, varied camera sensors, and complex foliage clutter. Standard vision models benchmarked on PlantDoc achieved significantly lower accuracies (30%–40%), underscoring the intrinsic difficulty of real-world foliar pathology. Too et al. [6] demonstrated that modern compact convolutional architectures, particularly DenseNets and MobileNets, offer favorable parameter efficiency over older VGG networks. Tan and Le [10] proposed EfficientNet, utilizing compound scaling across network depth, width, and input resolution. In our work, we leverage ImageNet-1K pretrained EfficientNet-B0 as a compact, high-capacity feature extractor for bounded foliar classification.</w:t>
      </w:r>
    </w:p>
    <w:p>
      <w:pPr>
        <w:spacing w:line="245" w:lineRule="auto" w:before="0" w:after="30"/>
        <w:ind w:firstLine="259"/>
        <w:jc w:val="both"/>
      </w:pPr>
      <w:r>
        <w:rPr>
          <w:rFonts w:ascii="Times New Roman" w:hAnsi="Times New Roman"/>
          <w:sz w:val="18"/>
        </w:rPr>
        <w:t>Prior to deep learning dominance, agricultural image processing relied on handcrafted color, texture, and morphological features [11]. Haralick's GLCM descriptors (contrast, dissimilarity, homogeneity, energy, and correlation) capture spatial gray-level dependencies that reflect leaf necrosis and tissue mottling. While classical feature vectors rarely match deep networks on high-capacity multiclass benchmarks, they possess significant advantages in interpretability, low computational overhead, and zero data-hungry training requirements [12]. In AgroVision-Mine, we do not discard handcrafted descriptors; instead, we engineer a standardized 32-dimensional continuous feature store that operates in parallel with deep embeddings, powering unsupervised K-Means clustering, PCA ordination, and association rule discovery via Apriori [13] and FP-Growth [14].</w:t>
      </w:r>
    </w:p>
    <w:p>
      <w:pPr>
        <w:spacing w:line="245" w:lineRule="auto" w:before="0" w:after="30"/>
        <w:ind w:firstLine="259"/>
        <w:jc w:val="both"/>
      </w:pPr>
      <w:r>
        <w:rPr>
          <w:rFonts w:ascii="Times New Roman" w:hAnsi="Times New Roman"/>
          <w:sz w:val="18"/>
        </w:rPr>
        <w:t>Dimensional modeling, formulated by Kimball and Ross [7], represents the industry standard for organizing operational enterprise data for Online Analytical Processing (OLAP) [15]. While widely adopted in finance, retail, and supply chain domains, dimensional modeling has rarely been integrated into computer vision pipelines. Vision datasets are typically stored as unstructured flat folders, stripping away relational taxonomy and precluding complex analytical queries. AgroVision-Mine bridges this divide by formalizing image observations as relational facts linked to botanical, pathological, and technical dimensions within a zero-configuration SQLite warehouse [16].</w:t>
      </w:r>
    </w:p>
    <w:p>
      <w:pPr>
        <w:keepNext/>
        <w:spacing w:before="160" w:after="40"/>
        <w:jc w:val="center"/>
      </w:pPr>
      <w:r>
        <w:rPr>
          <w:rFonts w:ascii="Times New Roman" w:hAnsi="Times New Roman"/>
          <w:b/>
          <w:sz w:val="17"/>
        </w:rPr>
        <w:t>TABLE I</w:t>
        <w:br/>
        <w:t>SYSTEMATIC COMPARATIVE ANALYSIS OF SURVEYED AGRICULTURAL VISION SYSTEMS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088"/>
        <w:gridCol w:w="2088"/>
        <w:gridCol w:w="2088"/>
        <w:gridCol w:w="2088"/>
        <w:gridCol w:w="2088"/>
      </w:tblGrid>
      <w:tr>
        <w:tc>
          <w:tcPr>
            <w:tcW w:type="dxa" w:w="1728"/>
            <w:shd w:fill="EAEAEA"/>
            <w:tcMar>
              <w:top w:w="60" w:type="dxa"/>
              <w:bottom w:w="60" w:type="dxa"/>
              <w:left w:w="80" w:type="dxa"/>
              <w:right w:w="80" w:type="dxa"/>
            </w:tcMar>
          </w:tcPr>
          <w:p>
            <w:pPr>
              <w:jc w:val="center"/>
            </w:pPr>
            <w:r>
              <w:rPr>
                <w:rFonts w:ascii="Times New Roman" w:hAnsi="Times New Roman"/>
                <w:b/>
                <w:sz w:val="15"/>
              </w:rPr>
              <w:t>Study &amp; Dataset</w:t>
            </w:r>
          </w:p>
        </w:tc>
        <w:tc>
          <w:tcPr>
            <w:tcW w:type="dxa" w:w="1296"/>
            <w:shd w:fill="EAEAEA"/>
            <w:tcMar>
              <w:top w:w="60" w:type="dxa"/>
              <w:bottom w:w="60" w:type="dxa"/>
              <w:left w:w="80" w:type="dxa"/>
              <w:right w:w="80" w:type="dxa"/>
            </w:tcMar>
          </w:tcPr>
          <w:p>
            <w:pPr>
              <w:jc w:val="center"/>
            </w:pPr>
            <w:r>
              <w:rPr>
                <w:rFonts w:ascii="Times New Roman" w:hAnsi="Times New Roman"/>
                <w:b/>
                <w:sz w:val="15"/>
              </w:rPr>
              <w:t>Core Architecture</w:t>
            </w:r>
          </w:p>
        </w:tc>
        <w:tc>
          <w:tcPr>
            <w:tcW w:type="dxa" w:w="720"/>
            <w:shd w:fill="EAEAEA"/>
            <w:tcMar>
              <w:top w:w="60" w:type="dxa"/>
              <w:bottom w:w="60" w:type="dxa"/>
              <w:left w:w="80" w:type="dxa"/>
              <w:right w:w="80" w:type="dxa"/>
            </w:tcMar>
          </w:tcPr>
          <w:p>
            <w:pPr>
              <w:jc w:val="center"/>
            </w:pPr>
            <w:r>
              <w:rPr>
                <w:rFonts w:ascii="Times New Roman" w:hAnsi="Times New Roman"/>
                <w:b/>
                <w:sz w:val="15"/>
              </w:rPr>
              <w:t>Warehouse Star Schema</w:t>
            </w:r>
          </w:p>
        </w:tc>
        <w:tc>
          <w:tcPr>
            <w:tcW w:type="dxa" w:w="648"/>
            <w:shd w:fill="EAEAEA"/>
            <w:tcMar>
              <w:top w:w="60" w:type="dxa"/>
              <w:bottom w:w="60" w:type="dxa"/>
              <w:left w:w="80" w:type="dxa"/>
              <w:right w:w="80" w:type="dxa"/>
            </w:tcMar>
          </w:tcPr>
          <w:p>
            <w:pPr>
              <w:jc w:val="center"/>
            </w:pPr>
            <w:r>
              <w:rPr>
                <w:rFonts w:ascii="Times New Roman" w:hAnsi="Times New Roman"/>
                <w:b/>
                <w:sz w:val="15"/>
              </w:rPr>
              <w:t>Handcrafted 32D Features</w:t>
            </w:r>
          </w:p>
        </w:tc>
        <w:tc>
          <w:tcPr>
            <w:tcW w:type="dxa" w:w="504"/>
            <w:shd w:fill="EAEAEA"/>
            <w:tcMar>
              <w:top w:w="60" w:type="dxa"/>
              <w:bottom w:w="60" w:type="dxa"/>
              <w:left w:w="80" w:type="dxa"/>
              <w:right w:w="80" w:type="dxa"/>
            </w:tcMar>
          </w:tcPr>
          <w:p>
            <w:pPr>
              <w:jc w:val="center"/>
            </w:pPr>
            <w:r>
              <w:rPr>
                <w:rFonts w:ascii="Times New Roman" w:hAnsi="Times New Roman"/>
                <w:b/>
                <w:sz w:val="15"/>
              </w:rPr>
              <w:t>Out-of-Domain Safeguard</w:t>
            </w:r>
          </w:p>
        </w:tc>
      </w:tr>
      <w:tr>
        <w:tc>
          <w:tcPr>
            <w:tcW w:type="dxa" w:w="1728"/>
            <w:tcMar>
              <w:top w:w="50" w:type="dxa"/>
              <w:bottom w:w="50" w:type="dxa"/>
              <w:left w:w="80" w:type="dxa"/>
              <w:right w:w="80" w:type="dxa"/>
            </w:tcMar>
          </w:tcPr>
          <w:p>
            <w:pPr>
              <w:jc w:val="left"/>
            </w:pPr>
            <w:r>
              <w:rPr>
                <w:rFonts w:ascii="Times New Roman" w:hAnsi="Times New Roman"/>
                <w:sz w:val="15"/>
              </w:rPr>
              <w:t>Mohanty et al. [2] (PlantVillage)</w:t>
            </w:r>
          </w:p>
        </w:tc>
        <w:tc>
          <w:tcPr>
            <w:tcW w:type="dxa" w:w="1296"/>
            <w:tcMar>
              <w:top w:w="50" w:type="dxa"/>
              <w:bottom w:w="50" w:type="dxa"/>
              <w:left w:w="80" w:type="dxa"/>
              <w:right w:w="80" w:type="dxa"/>
            </w:tcMar>
          </w:tcPr>
          <w:p>
            <w:pPr>
              <w:jc w:val="left"/>
            </w:pPr>
            <w:r>
              <w:rPr>
                <w:rFonts w:ascii="Times New Roman" w:hAnsi="Times New Roman"/>
                <w:sz w:val="15"/>
              </w:rPr>
              <w:t>AlexNet, GoogLeNet</w:t>
            </w:r>
          </w:p>
        </w:tc>
        <w:tc>
          <w:tcPr>
            <w:tcW w:type="dxa" w:w="720"/>
            <w:tcMar>
              <w:top w:w="50" w:type="dxa"/>
              <w:bottom w:w="50" w:type="dxa"/>
              <w:left w:w="80" w:type="dxa"/>
              <w:right w:w="80" w:type="dxa"/>
            </w:tcMar>
          </w:tcPr>
          <w:p>
            <w:pPr>
              <w:jc w:val="center"/>
            </w:pPr>
            <w:r>
              <w:rPr>
                <w:rFonts w:ascii="Times New Roman" w:hAnsi="Times New Roman"/>
                <w:sz w:val="15"/>
              </w:rPr>
              <w:t>No</w:t>
            </w:r>
          </w:p>
        </w:tc>
        <w:tc>
          <w:tcPr>
            <w:tcW w:type="dxa" w:w="648"/>
            <w:tcMar>
              <w:top w:w="50" w:type="dxa"/>
              <w:bottom w:w="50" w:type="dxa"/>
              <w:left w:w="80" w:type="dxa"/>
              <w:right w:w="80" w:type="dxa"/>
            </w:tcMar>
          </w:tcPr>
          <w:p>
            <w:pPr>
              <w:jc w:val="center"/>
            </w:pPr>
            <w:r>
              <w:rPr>
                <w:rFonts w:ascii="Times New Roman" w:hAnsi="Times New Roman"/>
                <w:sz w:val="15"/>
              </w:rPr>
              <w:t>No</w:t>
            </w:r>
          </w:p>
        </w:tc>
        <w:tc>
          <w:tcPr>
            <w:tcW w:type="dxa" w:w="504"/>
            <w:tcMar>
              <w:top w:w="50" w:type="dxa"/>
              <w:bottom w:w="50" w:type="dxa"/>
              <w:left w:w="80" w:type="dxa"/>
              <w:right w:w="80" w:type="dxa"/>
            </w:tcMar>
          </w:tcPr>
          <w:p>
            <w:pPr>
              <w:jc w:val="center"/>
            </w:pPr>
            <w:r>
              <w:rPr>
                <w:rFonts w:ascii="Times New Roman" w:hAnsi="Times New Roman"/>
                <w:sz w:val="15"/>
              </w:rPr>
              <w:t>No</w:t>
            </w:r>
          </w:p>
        </w:tc>
      </w:tr>
      <w:tr>
        <w:tc>
          <w:tcPr>
            <w:tcW w:type="dxa" w:w="1728"/>
            <w:tcMar>
              <w:top w:w="50" w:type="dxa"/>
              <w:bottom w:w="50" w:type="dxa"/>
              <w:left w:w="80" w:type="dxa"/>
              <w:right w:w="80" w:type="dxa"/>
            </w:tcMar>
          </w:tcPr>
          <w:p>
            <w:pPr>
              <w:jc w:val="left"/>
            </w:pPr>
            <w:r>
              <w:rPr>
                <w:rFonts w:ascii="Times New Roman" w:hAnsi="Times New Roman"/>
                <w:sz w:val="15"/>
              </w:rPr>
              <w:t>Ferentinos [4] (PlantVillage)</w:t>
            </w:r>
          </w:p>
        </w:tc>
        <w:tc>
          <w:tcPr>
            <w:tcW w:type="dxa" w:w="1296"/>
            <w:tcMar>
              <w:top w:w="50" w:type="dxa"/>
              <w:bottom w:w="50" w:type="dxa"/>
              <w:left w:w="80" w:type="dxa"/>
              <w:right w:w="80" w:type="dxa"/>
            </w:tcMar>
          </w:tcPr>
          <w:p>
            <w:pPr>
              <w:jc w:val="left"/>
            </w:pPr>
            <w:r>
              <w:rPr>
                <w:rFonts w:ascii="Times New Roman" w:hAnsi="Times New Roman"/>
                <w:sz w:val="15"/>
              </w:rPr>
              <w:t>VGG, ResNet-50</w:t>
            </w:r>
          </w:p>
        </w:tc>
        <w:tc>
          <w:tcPr>
            <w:tcW w:type="dxa" w:w="720"/>
            <w:tcMar>
              <w:top w:w="50" w:type="dxa"/>
              <w:bottom w:w="50" w:type="dxa"/>
              <w:left w:w="80" w:type="dxa"/>
              <w:right w:w="80" w:type="dxa"/>
            </w:tcMar>
          </w:tcPr>
          <w:p>
            <w:pPr>
              <w:jc w:val="center"/>
            </w:pPr>
            <w:r>
              <w:rPr>
                <w:rFonts w:ascii="Times New Roman" w:hAnsi="Times New Roman"/>
                <w:sz w:val="15"/>
              </w:rPr>
              <w:t>No</w:t>
            </w:r>
          </w:p>
        </w:tc>
        <w:tc>
          <w:tcPr>
            <w:tcW w:type="dxa" w:w="648"/>
            <w:tcMar>
              <w:top w:w="50" w:type="dxa"/>
              <w:bottom w:w="50" w:type="dxa"/>
              <w:left w:w="80" w:type="dxa"/>
              <w:right w:w="80" w:type="dxa"/>
            </w:tcMar>
          </w:tcPr>
          <w:p>
            <w:pPr>
              <w:jc w:val="center"/>
            </w:pPr>
            <w:r>
              <w:rPr>
                <w:rFonts w:ascii="Times New Roman" w:hAnsi="Times New Roman"/>
                <w:sz w:val="15"/>
              </w:rPr>
              <w:t>No</w:t>
            </w:r>
          </w:p>
        </w:tc>
        <w:tc>
          <w:tcPr>
            <w:tcW w:type="dxa" w:w="504"/>
            <w:tcMar>
              <w:top w:w="50" w:type="dxa"/>
              <w:bottom w:w="50" w:type="dxa"/>
              <w:left w:w="80" w:type="dxa"/>
              <w:right w:w="80" w:type="dxa"/>
            </w:tcMar>
          </w:tcPr>
          <w:p>
            <w:pPr>
              <w:jc w:val="center"/>
            </w:pPr>
            <w:r>
              <w:rPr>
                <w:rFonts w:ascii="Times New Roman" w:hAnsi="Times New Roman"/>
                <w:sz w:val="15"/>
              </w:rPr>
              <w:t>No</w:t>
            </w:r>
          </w:p>
        </w:tc>
      </w:tr>
      <w:tr>
        <w:tc>
          <w:tcPr>
            <w:tcW w:type="dxa" w:w="1728"/>
            <w:tcMar>
              <w:top w:w="50" w:type="dxa"/>
              <w:bottom w:w="50" w:type="dxa"/>
              <w:left w:w="80" w:type="dxa"/>
              <w:right w:w="80" w:type="dxa"/>
            </w:tcMar>
          </w:tcPr>
          <w:p>
            <w:pPr>
              <w:jc w:val="left"/>
            </w:pPr>
            <w:r>
              <w:rPr>
                <w:rFonts w:ascii="Times New Roman" w:hAnsi="Times New Roman"/>
                <w:sz w:val="15"/>
              </w:rPr>
              <w:t>Barbedo [1] (Proprietary Lab)</w:t>
            </w:r>
          </w:p>
        </w:tc>
        <w:tc>
          <w:tcPr>
            <w:tcW w:type="dxa" w:w="1296"/>
            <w:tcMar>
              <w:top w:w="50" w:type="dxa"/>
              <w:bottom w:w="50" w:type="dxa"/>
              <w:left w:w="80" w:type="dxa"/>
              <w:right w:w="80" w:type="dxa"/>
            </w:tcMar>
          </w:tcPr>
          <w:p>
            <w:pPr>
              <w:jc w:val="left"/>
            </w:pPr>
            <w:r>
              <w:rPr>
                <w:rFonts w:ascii="Times New Roman" w:hAnsi="Times New Roman"/>
                <w:sz w:val="15"/>
              </w:rPr>
              <w:t>Transfer Learning</w:t>
            </w:r>
          </w:p>
        </w:tc>
        <w:tc>
          <w:tcPr>
            <w:tcW w:type="dxa" w:w="720"/>
            <w:tcMar>
              <w:top w:w="50" w:type="dxa"/>
              <w:bottom w:w="50" w:type="dxa"/>
              <w:left w:w="80" w:type="dxa"/>
              <w:right w:w="80" w:type="dxa"/>
            </w:tcMar>
          </w:tcPr>
          <w:p>
            <w:pPr>
              <w:jc w:val="center"/>
            </w:pPr>
            <w:r>
              <w:rPr>
                <w:rFonts w:ascii="Times New Roman" w:hAnsi="Times New Roman"/>
                <w:sz w:val="15"/>
              </w:rPr>
              <w:t>No</w:t>
            </w:r>
          </w:p>
        </w:tc>
        <w:tc>
          <w:tcPr>
            <w:tcW w:type="dxa" w:w="648"/>
            <w:tcMar>
              <w:top w:w="50" w:type="dxa"/>
              <w:bottom w:w="50" w:type="dxa"/>
              <w:left w:w="80" w:type="dxa"/>
              <w:right w:w="80" w:type="dxa"/>
            </w:tcMar>
          </w:tcPr>
          <w:p>
            <w:pPr>
              <w:jc w:val="center"/>
            </w:pPr>
            <w:r>
              <w:rPr>
                <w:rFonts w:ascii="Times New Roman" w:hAnsi="Times New Roman"/>
                <w:sz w:val="15"/>
              </w:rPr>
              <w:t>No</w:t>
            </w:r>
          </w:p>
        </w:tc>
        <w:tc>
          <w:tcPr>
            <w:tcW w:type="dxa" w:w="504"/>
            <w:tcMar>
              <w:top w:w="50" w:type="dxa"/>
              <w:bottom w:w="50" w:type="dxa"/>
              <w:left w:w="80" w:type="dxa"/>
              <w:right w:w="80" w:type="dxa"/>
            </w:tcMar>
          </w:tcPr>
          <w:p>
            <w:pPr>
              <w:jc w:val="center"/>
            </w:pPr>
            <w:r>
              <w:rPr>
                <w:rFonts w:ascii="Times New Roman" w:hAnsi="Times New Roman"/>
                <w:sz w:val="15"/>
              </w:rPr>
              <w:t>No</w:t>
            </w:r>
          </w:p>
        </w:tc>
      </w:tr>
      <w:tr>
        <w:tc>
          <w:tcPr>
            <w:tcW w:type="dxa" w:w="1728"/>
            <w:tcMar>
              <w:top w:w="50" w:type="dxa"/>
              <w:bottom w:w="50" w:type="dxa"/>
              <w:left w:w="80" w:type="dxa"/>
              <w:right w:w="80" w:type="dxa"/>
            </w:tcMar>
          </w:tcPr>
          <w:p>
            <w:pPr>
              <w:jc w:val="left"/>
            </w:pPr>
            <w:r>
              <w:rPr>
                <w:rFonts w:ascii="Times New Roman" w:hAnsi="Times New Roman"/>
                <w:sz w:val="15"/>
              </w:rPr>
              <w:t>Too et al. [6] (PlantVillage)</w:t>
            </w:r>
          </w:p>
        </w:tc>
        <w:tc>
          <w:tcPr>
            <w:tcW w:type="dxa" w:w="1296"/>
            <w:tcMar>
              <w:top w:w="50" w:type="dxa"/>
              <w:bottom w:w="50" w:type="dxa"/>
              <w:left w:w="80" w:type="dxa"/>
              <w:right w:w="80" w:type="dxa"/>
            </w:tcMar>
          </w:tcPr>
          <w:p>
            <w:pPr>
              <w:jc w:val="left"/>
            </w:pPr>
            <w:r>
              <w:rPr>
                <w:rFonts w:ascii="Times New Roman" w:hAnsi="Times New Roman"/>
                <w:sz w:val="15"/>
              </w:rPr>
              <w:t>DenseNet-121, VGG-16</w:t>
            </w:r>
          </w:p>
        </w:tc>
        <w:tc>
          <w:tcPr>
            <w:tcW w:type="dxa" w:w="720"/>
            <w:tcMar>
              <w:top w:w="50" w:type="dxa"/>
              <w:bottom w:w="50" w:type="dxa"/>
              <w:left w:w="80" w:type="dxa"/>
              <w:right w:w="80" w:type="dxa"/>
            </w:tcMar>
          </w:tcPr>
          <w:p>
            <w:pPr>
              <w:jc w:val="center"/>
            </w:pPr>
            <w:r>
              <w:rPr>
                <w:rFonts w:ascii="Times New Roman" w:hAnsi="Times New Roman"/>
                <w:sz w:val="15"/>
              </w:rPr>
              <w:t>No</w:t>
            </w:r>
          </w:p>
        </w:tc>
        <w:tc>
          <w:tcPr>
            <w:tcW w:type="dxa" w:w="648"/>
            <w:tcMar>
              <w:top w:w="50" w:type="dxa"/>
              <w:bottom w:w="50" w:type="dxa"/>
              <w:left w:w="80" w:type="dxa"/>
              <w:right w:w="80" w:type="dxa"/>
            </w:tcMar>
          </w:tcPr>
          <w:p>
            <w:pPr>
              <w:jc w:val="center"/>
            </w:pPr>
            <w:r>
              <w:rPr>
                <w:rFonts w:ascii="Times New Roman" w:hAnsi="Times New Roman"/>
                <w:sz w:val="15"/>
              </w:rPr>
              <w:t>No</w:t>
            </w:r>
          </w:p>
        </w:tc>
        <w:tc>
          <w:tcPr>
            <w:tcW w:type="dxa" w:w="504"/>
            <w:tcMar>
              <w:top w:w="50" w:type="dxa"/>
              <w:bottom w:w="50" w:type="dxa"/>
              <w:left w:w="80" w:type="dxa"/>
              <w:right w:w="80" w:type="dxa"/>
            </w:tcMar>
          </w:tcPr>
          <w:p>
            <w:pPr>
              <w:jc w:val="center"/>
            </w:pPr>
            <w:r>
              <w:rPr>
                <w:rFonts w:ascii="Times New Roman" w:hAnsi="Times New Roman"/>
                <w:sz w:val="15"/>
              </w:rPr>
              <w:t>No</w:t>
            </w:r>
          </w:p>
        </w:tc>
      </w:tr>
      <w:tr>
        <w:tc>
          <w:tcPr>
            <w:tcW w:type="dxa" w:w="1728"/>
            <w:tcMar>
              <w:top w:w="50" w:type="dxa"/>
              <w:bottom w:w="50" w:type="dxa"/>
              <w:left w:w="80" w:type="dxa"/>
              <w:right w:w="80" w:type="dxa"/>
            </w:tcMar>
          </w:tcPr>
          <w:p>
            <w:pPr>
              <w:jc w:val="left"/>
            </w:pPr>
            <w:r>
              <w:rPr>
                <w:rFonts w:ascii="Times New Roman" w:hAnsi="Times New Roman"/>
                <w:sz w:val="15"/>
              </w:rPr>
              <w:t>Singh et al. [5] (PlantDoc)</w:t>
            </w:r>
          </w:p>
        </w:tc>
        <w:tc>
          <w:tcPr>
            <w:tcW w:type="dxa" w:w="1296"/>
            <w:tcMar>
              <w:top w:w="50" w:type="dxa"/>
              <w:bottom w:w="50" w:type="dxa"/>
              <w:left w:w="80" w:type="dxa"/>
              <w:right w:w="80" w:type="dxa"/>
            </w:tcMar>
          </w:tcPr>
          <w:p>
            <w:pPr>
              <w:jc w:val="left"/>
            </w:pPr>
            <w:r>
              <w:rPr>
                <w:rFonts w:ascii="Times New Roman" w:hAnsi="Times New Roman"/>
                <w:sz w:val="15"/>
              </w:rPr>
              <w:t>Faster R-CNN, MobileNet</w:t>
            </w:r>
          </w:p>
        </w:tc>
        <w:tc>
          <w:tcPr>
            <w:tcW w:type="dxa" w:w="720"/>
            <w:tcMar>
              <w:top w:w="50" w:type="dxa"/>
              <w:bottom w:w="50" w:type="dxa"/>
              <w:left w:w="80" w:type="dxa"/>
              <w:right w:w="80" w:type="dxa"/>
            </w:tcMar>
          </w:tcPr>
          <w:p>
            <w:pPr>
              <w:jc w:val="center"/>
            </w:pPr>
            <w:r>
              <w:rPr>
                <w:rFonts w:ascii="Times New Roman" w:hAnsi="Times New Roman"/>
                <w:sz w:val="15"/>
              </w:rPr>
              <w:t>No</w:t>
            </w:r>
          </w:p>
        </w:tc>
        <w:tc>
          <w:tcPr>
            <w:tcW w:type="dxa" w:w="648"/>
            <w:tcMar>
              <w:top w:w="50" w:type="dxa"/>
              <w:bottom w:w="50" w:type="dxa"/>
              <w:left w:w="80" w:type="dxa"/>
              <w:right w:w="80" w:type="dxa"/>
            </w:tcMar>
          </w:tcPr>
          <w:p>
            <w:pPr>
              <w:jc w:val="center"/>
            </w:pPr>
            <w:r>
              <w:rPr>
                <w:rFonts w:ascii="Times New Roman" w:hAnsi="Times New Roman"/>
                <w:sz w:val="15"/>
              </w:rPr>
              <w:t>No</w:t>
            </w:r>
          </w:p>
        </w:tc>
        <w:tc>
          <w:tcPr>
            <w:tcW w:type="dxa" w:w="504"/>
            <w:tcMar>
              <w:top w:w="50" w:type="dxa"/>
              <w:bottom w:w="50" w:type="dxa"/>
              <w:left w:w="80" w:type="dxa"/>
              <w:right w:w="80" w:type="dxa"/>
            </w:tcMar>
          </w:tcPr>
          <w:p>
            <w:pPr>
              <w:jc w:val="center"/>
            </w:pPr>
            <w:r>
              <w:rPr>
                <w:rFonts w:ascii="Times New Roman" w:hAnsi="Times New Roman"/>
                <w:sz w:val="15"/>
              </w:rPr>
              <w:t>No</w:t>
            </w:r>
          </w:p>
        </w:tc>
      </w:tr>
      <w:tr>
        <w:tc>
          <w:tcPr>
            <w:tcW w:type="dxa" w:w="1728"/>
            <w:tcMar>
              <w:top w:w="50" w:type="dxa"/>
              <w:bottom w:w="50" w:type="dxa"/>
              <w:left w:w="80" w:type="dxa"/>
              <w:right w:w="80" w:type="dxa"/>
            </w:tcMar>
            <w:shd w:fill="F0F7F4"/>
          </w:tcPr>
          <w:p>
            <w:pPr>
              <w:jc w:val="left"/>
            </w:pPr>
            <w:r>
              <w:rPr>
                <w:rFonts w:ascii="Times New Roman" w:hAnsi="Times New Roman"/>
                <w:b/>
                <w:sz w:val="15"/>
              </w:rPr>
              <w:t>AgroVision-Mine (Ours)</w:t>
              <w:br/>
              <w:t>(PlantDoc + ICAR, N=2,596)</w:t>
            </w:r>
          </w:p>
        </w:tc>
        <w:tc>
          <w:tcPr>
            <w:tcW w:type="dxa" w:w="1296"/>
            <w:tcMar>
              <w:top w:w="50" w:type="dxa"/>
              <w:bottom w:w="50" w:type="dxa"/>
              <w:left w:w="80" w:type="dxa"/>
              <w:right w:w="80" w:type="dxa"/>
            </w:tcMar>
            <w:shd w:fill="F0F7F4"/>
          </w:tcPr>
          <w:p>
            <w:pPr>
              <w:jc w:val="left"/>
            </w:pPr>
            <w:r>
              <w:rPr>
                <w:rFonts w:ascii="Times New Roman" w:hAnsi="Times New Roman"/>
                <w:b/>
                <w:sz w:val="15"/>
              </w:rPr>
              <w:t>Kimball Star Schema +</w:t>
              <w:br/>
              <w:t>EfficientNet-B0 + OLAP</w:t>
            </w:r>
          </w:p>
        </w:tc>
        <w:tc>
          <w:tcPr>
            <w:tcW w:type="dxa" w:w="720"/>
            <w:tcMar>
              <w:top w:w="50" w:type="dxa"/>
              <w:bottom w:w="50" w:type="dxa"/>
              <w:left w:w="80" w:type="dxa"/>
              <w:right w:w="80" w:type="dxa"/>
            </w:tcMar>
            <w:shd w:fill="F0F7F4"/>
          </w:tcPr>
          <w:p>
            <w:pPr>
              <w:jc w:val="center"/>
            </w:pPr>
            <w:r>
              <w:rPr>
                <w:rFonts w:ascii="Times New Roman" w:hAnsi="Times New Roman"/>
                <w:b/>
                <w:sz w:val="15"/>
              </w:rPr>
              <w:t>Yes (SQLite</w:t>
              <w:br/>
              <w:t>Foreign Keys)</w:t>
            </w:r>
          </w:p>
        </w:tc>
        <w:tc>
          <w:tcPr>
            <w:tcW w:type="dxa" w:w="648"/>
            <w:tcMar>
              <w:top w:w="50" w:type="dxa"/>
              <w:bottom w:w="50" w:type="dxa"/>
              <w:left w:w="80" w:type="dxa"/>
              <w:right w:w="80" w:type="dxa"/>
            </w:tcMar>
            <w:shd w:fill="F0F7F4"/>
          </w:tcPr>
          <w:p>
            <w:pPr>
              <w:jc w:val="center"/>
            </w:pPr>
            <w:r>
              <w:rPr>
                <w:rFonts w:ascii="Times New Roman" w:hAnsi="Times New Roman"/>
                <w:b/>
                <w:sz w:val="15"/>
              </w:rPr>
              <w:t>Yes (19 Color,</w:t>
              <w:br/>
              <w:t>7 GLCM, 6 Morph)</w:t>
            </w:r>
          </w:p>
        </w:tc>
        <w:tc>
          <w:tcPr>
            <w:tcW w:type="dxa" w:w="504"/>
            <w:tcMar>
              <w:top w:w="50" w:type="dxa"/>
              <w:bottom w:w="50" w:type="dxa"/>
              <w:left w:w="80" w:type="dxa"/>
              <w:right w:w="80" w:type="dxa"/>
            </w:tcMar>
            <w:shd w:fill="F0F7F4"/>
          </w:tcPr>
          <w:p>
            <w:pPr>
              <w:jc w:val="center"/>
            </w:pPr>
            <w:r>
              <w:rPr>
                <w:rFonts w:ascii="Times New Roman" w:hAnsi="Times New Roman"/>
                <w:b/>
                <w:sz w:val="15"/>
              </w:rPr>
              <w:t>Yes (Cross-Modal</w:t>
              <w:br/>
              <w:t>32D Retrieval)</w:t>
            </w:r>
          </w:p>
        </w:tc>
      </w:tr>
    </w:tbl>
    <w:p>
      <w:pPr>
        <w:keepNext/>
        <w:spacing w:before="160" w:after="40"/>
        <w:jc w:val="center"/>
      </w:pPr>
      <w:r>
        <w:rPr>
          <w:rFonts w:ascii="Times New Roman" w:hAnsi="Times New Roman"/>
          <w:b/>
          <w:sz w:val="20"/>
        </w:rPr>
        <w:t>III. SYSTEM ARCHITECTURE AND DATA FLOW</w:t>
      </w:r>
    </w:p>
    <w:p>
      <w:pPr>
        <w:spacing w:line="245" w:lineRule="auto" w:before="0" w:after="30"/>
        <w:ind w:firstLine="259"/>
        <w:jc w:val="both"/>
      </w:pPr>
      <w:r>
        <w:rPr>
          <w:rFonts w:ascii="Times New Roman" w:hAnsi="Times New Roman"/>
          <w:sz w:val="18"/>
        </w:rPr>
        <w:t>AgroVision-Mine is structured as a five-layer end-to-end analytical pipeline, depicted in Fig. 1. The architecture decouples data ingestion, feature store extraction, dimensional relational persistence, analytical mining engines, and presentation delivery.</w:t>
      </w:r>
    </w:p>
    <w:p>
      <w:pPr>
        <w:keepNext/>
        <w:spacing w:before="80" w:after="20"/>
        <w:jc w:val="center"/>
      </w:pPr>
      <w:r>
        <w:drawing>
          <wp:inline xmlns:a="http://schemas.openxmlformats.org/drawingml/2006/main" xmlns:pic="http://schemas.openxmlformats.org/drawingml/2006/picture">
            <wp:extent cx="3108960" cy="112329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108960" cy="1123299"/>
                    </a:xfrm>
                    <a:prstGeom prst="rect"/>
                  </pic:spPr>
                </pic:pic>
              </a:graphicData>
            </a:graphic>
          </wp:inline>
        </w:drawing>
      </w:r>
    </w:p>
    <w:p>
      <w:pPr>
        <w:spacing w:before="20" w:after="80"/>
        <w:jc w:val="both"/>
      </w:pPr>
      <w:r>
        <w:rPr>
          <w:rFonts w:ascii="Times New Roman" w:hAnsi="Times New Roman"/>
          <w:sz w:val="16"/>
        </w:rPr>
        <w:t>Fig. 1. End-to-End Five-Layer System Architecture of AgroVision-Mine, illustrating data ingestion quality gates, feature store extraction, Kimball relational warehouse, dual analytical branches (SQL OLAP / visual mining vs. deep transfer learning), and presentation delivery.</w:t>
      </w:r>
    </w:p>
    <w:p>
      <w:pPr>
        <w:spacing w:line="245" w:lineRule="auto" w:before="0" w:after="30"/>
        <w:ind w:firstLine="259"/>
        <w:jc w:val="both"/>
      </w:pPr>
      <w:r>
        <w:rPr>
          <w:rFonts w:ascii="Times New Roman" w:hAnsi="Times New Roman"/>
          <w:b/>
          <w:sz w:val="18"/>
        </w:rPr>
        <w:t>A. Layer 1: Ingestion &amp; Quality Control—</w:t>
      </w:r>
      <w:r>
        <w:rPr>
          <w:rFonts w:ascii="Times New Roman" w:hAnsi="Times New Roman"/>
          <w:sz w:val="18"/>
        </w:rPr>
        <w:t>The ingestion tier accepts heterogeneous agricultural imagery from web-scraped field repositories (PlantDoc) and flatbed scanner archives (ICAR/OGD). To prevent data corruption, every candidate file must sequentially pass five automated quality gates: Gate 1 verifies JPEG/PNG magic bytes; Gate 2 enforces spatial geometry (H &gt;= 100, W &gt;= 100); Gate 3 sets a 15 MB payload ceiling; Gate 4 applies MD5 bitstream deduplication; and Gate 5 performs EXIF loss-free transposition and RGB channel standardization.</w:t>
      </w:r>
    </w:p>
    <w:p>
      <w:pPr>
        <w:spacing w:line="245" w:lineRule="auto" w:before="0" w:after="30"/>
        <w:ind w:firstLine="259"/>
        <w:jc w:val="both"/>
      </w:pPr>
      <w:r>
        <w:rPr>
          <w:rFonts w:ascii="Times New Roman" w:hAnsi="Times New Roman"/>
          <w:b/>
          <w:sz w:val="18"/>
        </w:rPr>
        <w:t>B. Layer 2: Preprocessing &amp; Feature Store—</w:t>
      </w:r>
      <w:r>
        <w:rPr>
          <w:rFonts w:ascii="Times New Roman" w:hAnsi="Times New Roman"/>
          <w:sz w:val="18"/>
        </w:rPr>
        <w:t>Validated images are preprocessed through bilinear interpolation to a standardized 256x256 RGB representation for canonical feature extraction. Thirty-two continuous descriptors are extracted across color, texture, and morphometry, producing the frozen analytical feature matrix X in R^(2596 x 32). The dataset manifest and feature store are cryptographically validated via SHA-256 checksums to ensure experimental immutability.</w:t>
      </w:r>
    </w:p>
    <w:p>
      <w:pPr>
        <w:spacing w:line="245" w:lineRule="auto" w:before="0" w:after="30"/>
        <w:ind w:firstLine="259"/>
        <w:jc w:val="both"/>
      </w:pPr>
      <w:r>
        <w:rPr>
          <w:rFonts w:ascii="Times New Roman" w:hAnsi="Times New Roman"/>
          <w:b/>
          <w:sz w:val="18"/>
        </w:rPr>
        <w:t>C. Layer 3: Relational Data Warehouse &amp; ETL—</w:t>
      </w:r>
      <w:r>
        <w:rPr>
          <w:rFonts w:ascii="Times New Roman" w:hAnsi="Times New Roman"/>
          <w:sz w:val="18"/>
        </w:rPr>
        <w:t>The relational persistence layer implements a Kimball star schema in SQLite [7]. The central fact table, disease_observation_fact, links 2,596 specimen records to four normalized dimensions through integer surrogate keys: dim_crop, dim_disease, dim_image, and dim_visual_feature. Referential integrity is enforced at the database engine level via PRAGMA foreign_keys = ON.</w:t>
      </w:r>
    </w:p>
    <w:p>
      <w:pPr>
        <w:spacing w:line="245" w:lineRule="auto" w:before="0" w:after="30"/>
        <w:ind w:firstLine="259"/>
        <w:jc w:val="both"/>
      </w:pPr>
      <w:r>
        <w:rPr>
          <w:rFonts w:ascii="Times New Roman" w:hAnsi="Times New Roman"/>
          <w:b/>
          <w:sz w:val="18"/>
        </w:rPr>
        <w:t>D. Layer 4: Dual-Track Analytical Engines—</w:t>
      </w:r>
      <w:r>
        <w:rPr>
          <w:rFonts w:ascii="Times New Roman" w:hAnsi="Times New Roman"/>
          <w:sz w:val="18"/>
        </w:rPr>
        <w:t>The system bifurcates into two independent, complementary analytical branches: (1) Descriptor-Based Relational &amp; Unsupervised Branch: Operates on the standardized 32D handcrafted feature matrix and the relational star schema, powering ANSI SQL OLAP operations, K-Means clustering, 2D PCA ordination, Apriori/FP-Growth association rule mining, and nearest-reference Euclidean similarity retrieval. (2) Deep Supervised Transfer Learning Branch: Operates directly on standardized 224x224 RGB image tensors. An EfficientNet-B0 CNN fine-tuned on 25 composite classes outputs class logits, softmax probability distributions, and domain uncertainty indicators. Crucially, the deep neural network does not consume the 32 handcrafted descriptors as input; both pipelines remain mathematically and architecturally distinct.</w:t>
      </w:r>
    </w:p>
    <w:p>
      <w:pPr>
        <w:spacing w:line="245" w:lineRule="auto" w:before="0" w:after="30"/>
        <w:ind w:firstLine="259"/>
        <w:jc w:val="both"/>
      </w:pPr>
      <w:r>
        <w:rPr>
          <w:rFonts w:ascii="Times New Roman" w:hAnsi="Times New Roman"/>
          <w:b/>
          <w:sz w:val="18"/>
        </w:rPr>
        <w:t>E. Layer 5: Presentation &amp; Delivery Tier—</w:t>
      </w:r>
      <w:r>
        <w:rPr>
          <w:rFonts w:ascii="Times New Roman" w:hAnsi="Times New Roman"/>
          <w:sz w:val="18"/>
        </w:rPr>
        <w:t>The application tier couples an asynchronous FastAPI backend (:8001) [17] with a responsive React 19 and TypeScript single-page application (SPA). Nine specialized views provide agronomists with interactive dataset exploration, live SQL execution, multidimensional charts, and a real-time Visual Specimen Workbench.</w:t>
      </w:r>
    </w:p>
    <w:p>
      <w:pPr>
        <w:keepNext/>
        <w:spacing w:before="160" w:after="40"/>
        <w:jc w:val="center"/>
      </w:pPr>
      <w:r>
        <w:rPr>
          <w:rFonts w:ascii="Times New Roman" w:hAnsi="Times New Roman"/>
          <w:b/>
          <w:sz w:val="20"/>
        </w:rPr>
        <w:t>IV. METHODOLOGY AND MATHEMATICAL FORMULATION</w:t>
      </w:r>
    </w:p>
    <w:p>
      <w:pPr>
        <w:keepNext/>
        <w:spacing w:before="120" w:after="30"/>
        <w:jc w:val="left"/>
      </w:pPr>
      <w:r>
        <w:rPr>
          <w:rFonts w:ascii="Times New Roman" w:hAnsi="Times New Roman"/>
          <w:b/>
          <w:i/>
          <w:sz w:val="19"/>
        </w:rPr>
        <w:t>A. Multimodal Star Schema Design</w:t>
      </w:r>
    </w:p>
    <w:p>
      <w:pPr>
        <w:spacing w:line="245" w:lineRule="auto" w:before="0" w:after="30"/>
        <w:ind w:firstLine="259"/>
        <w:jc w:val="both"/>
      </w:pPr>
      <w:r>
        <w:rPr>
          <w:rFonts w:ascii="Times New Roman" w:hAnsi="Times New Roman"/>
          <w:sz w:val="18"/>
        </w:rPr>
        <w:t>The relational star schema (Fig. 2) models agricultural foliar observations at the grain of one validated specimen per fact row. The central fact table, disease_observation_fact, records observation measures (lesion_severity_score, image_sharpness_score) linked to four foreign dimensions:</w:t>
      </w:r>
    </w:p>
    <w:p>
      <w:pPr>
        <w:spacing w:line="245" w:lineRule="auto" w:before="0" w:after="30"/>
        <w:ind w:firstLine="259"/>
        <w:jc w:val="both"/>
      </w:pPr>
      <w:r>
        <w:rPr>
          <w:rFonts w:ascii="Times New Roman" w:hAnsi="Times New Roman"/>
          <w:b/>
          <w:sz w:val="18"/>
        </w:rPr>
        <w:t xml:space="preserve">• Dimensional Relations: </w:t>
      </w:r>
      <w:r>
        <w:rPr>
          <w:rFonts w:ascii="Times New Roman" w:hAnsi="Times New Roman"/>
          <w:sz w:val="18"/>
        </w:rPr>
        <w:t>dim_crop stores botanical taxonomy (crop_name, botanical_name, crop_category); dim_disease records pathology hierarchies (disease_name, pathogen_type, causal_agent); dim_image holds technical file metadata (filename, raw_path, processed_path, md5_hash); and dim_visual_feature persists all 32 normalized descriptors alongside cluster assignments.</w:t>
      </w:r>
    </w:p>
    <w:p>
      <w:pPr>
        <w:keepNext/>
        <w:spacing w:before="80" w:after="20"/>
        <w:jc w:val="center"/>
      </w:pPr>
      <w:r>
        <w:drawing>
          <wp:inline xmlns:a="http://schemas.openxmlformats.org/drawingml/2006/main" xmlns:pic="http://schemas.openxmlformats.org/drawingml/2006/picture">
            <wp:extent cx="3108960" cy="2480887"/>
            <wp:docPr id="2" name="Picture 2"/>
            <wp:cNvGraphicFramePr>
              <a:graphicFrameLocks noChangeAspect="1"/>
            </wp:cNvGraphicFramePr>
            <a:graphic>
              <a:graphicData uri="http://schemas.openxmlformats.org/drawingml/2006/picture">
                <pic:pic>
                  <pic:nvPicPr>
                    <pic:cNvPr id="0" name="fig2_star_schema.png"/>
                    <pic:cNvPicPr/>
                  </pic:nvPicPr>
                  <pic:blipFill>
                    <a:blip r:embed="rId10"/>
                    <a:stretch>
                      <a:fillRect/>
                    </a:stretch>
                  </pic:blipFill>
                  <pic:spPr>
                    <a:xfrm>
                      <a:off x="0" y="0"/>
                      <a:ext cx="3108960" cy="2480887"/>
                    </a:xfrm>
                    <a:prstGeom prst="rect"/>
                  </pic:spPr>
                </pic:pic>
              </a:graphicData>
            </a:graphic>
          </wp:inline>
        </w:drawing>
      </w:r>
    </w:p>
    <w:p>
      <w:pPr>
        <w:spacing w:before="20" w:after="80"/>
        <w:jc w:val="both"/>
      </w:pPr>
      <w:r>
        <w:rPr>
          <w:rFonts w:ascii="Times New Roman" w:hAnsi="Times New Roman"/>
          <w:sz w:val="16"/>
        </w:rPr>
        <w:t>Fig. 2. AgroVision-Mine Kimball Star Schema: Central fact table (disease_observation_fact) surrounded by four normalized dimensions with enforced foreign key integrity.</w:t>
      </w:r>
    </w:p>
    <w:p>
      <w:pPr>
        <w:keepNext/>
        <w:spacing w:before="120" w:after="30"/>
        <w:jc w:val="left"/>
      </w:pPr>
      <w:r>
        <w:rPr>
          <w:rFonts w:ascii="Times New Roman" w:hAnsi="Times New Roman"/>
          <w:b/>
          <w:i/>
          <w:sz w:val="19"/>
        </w:rPr>
        <w:t>B. Explainable Visual Feature Extraction</w:t>
      </w:r>
    </w:p>
    <w:p>
      <w:pPr>
        <w:spacing w:line="245" w:lineRule="auto" w:before="0" w:after="30"/>
        <w:ind w:firstLine="259"/>
        <w:jc w:val="both"/>
      </w:pPr>
      <w:r>
        <w:rPr>
          <w:rFonts w:ascii="Times New Roman" w:hAnsi="Times New Roman"/>
          <w:sz w:val="18"/>
        </w:rPr>
        <w:t>The 32 continuous descriptors are mathematically formulated across three distinct visual domains:</w:t>
      </w:r>
    </w:p>
    <w:p>
      <w:pPr>
        <w:keepNext/>
        <w:spacing w:before="80" w:after="20"/>
        <w:jc w:val="left"/>
      </w:pPr>
      <w:r>
        <w:rPr>
          <w:rFonts w:ascii="Times New Roman" w:hAnsi="Times New Roman"/>
          <w:i/>
          <w:sz w:val="18"/>
        </w:rPr>
        <w:t>1) Color Moments (19 Descriptors):</w:t>
      </w:r>
    </w:p>
    <w:p>
      <w:pPr>
        <w:spacing w:line="245" w:lineRule="auto" w:before="0" w:after="30"/>
        <w:ind w:firstLine="259"/>
        <w:jc w:val="both"/>
      </w:pPr>
      <w:r>
        <w:rPr>
          <w:rFonts w:ascii="Times New Roman" w:hAnsi="Times New Roman"/>
          <w:sz w:val="18"/>
        </w:rPr>
        <w:t>Let I_c(x, y) denote the intensity of color channel c in {R, G, B} at coordinate (x, y) over an M x N image. The first two statistical color moments are computed as:</w:t>
      </w:r>
    </w:p>
    <w:p>
      <w:pPr>
        <w:spacing w:before="40" w:after="40"/>
        <w:jc w:val="both"/>
      </w:pPr>
      <w:r>
        <w:rPr>
          <w:rFonts w:ascii="Times New Roman" w:hAnsi="Times New Roman"/>
          <w:i/>
          <w:sz w:val="18"/>
        </w:rPr>
        <w:tab/>
        <w:t>mu_c = (1 / MN) * sum_{x=1}^M sum_{y=1}^N I_c(x, y)</w:t>
      </w:r>
      <w:r>
        <w:rPr>
          <w:rFonts w:ascii="Times New Roman" w:hAnsi="Times New Roman"/>
          <w:sz w:val="18"/>
        </w:rPr>
        <w:tab/>
        <w:t>(1)</w:t>
      </w:r>
    </w:p>
    <w:p>
      <w:pPr>
        <w:spacing w:before="40" w:after="40"/>
        <w:jc w:val="both"/>
      </w:pPr>
      <w:r>
        <w:rPr>
          <w:rFonts w:ascii="Times New Roman" w:hAnsi="Times New Roman"/>
          <w:i/>
          <w:sz w:val="18"/>
        </w:rPr>
        <w:tab/>
        <w:t>sigma_c = sqrt( (1 / MN) * sum_{x=1}^M sum_{y=1}^N (I_c(x, y) - mu_c)^2 )</w:t>
      </w:r>
      <w:r>
        <w:rPr>
          <w:rFonts w:ascii="Times New Roman" w:hAnsi="Times New Roman"/>
          <w:sz w:val="18"/>
        </w:rPr>
        <w:tab/>
        <w:t>(2)</w:t>
      </w:r>
    </w:p>
    <w:p>
      <w:pPr>
        <w:spacing w:line="245" w:lineRule="auto" w:before="0" w:after="30"/>
        <w:ind w:firstLine="259"/>
        <w:jc w:val="both"/>
      </w:pPr>
      <w:r>
        <w:rPr>
          <w:rFonts w:ascii="Times New Roman" w:hAnsi="Times New Roman"/>
          <w:sz w:val="18"/>
        </w:rPr>
        <w:t>Normalized chromaticities r, g, b = I_c / (R + G + B) and HSV moments (mu_H, sigma_H, mu_S, sigma_S, mu_V, sigma_V) are appended. To isolate vegetative chlorophyll content from soil backgrounds, the Excess Green Index (ExG) is computed pixel-wise:</w:t>
      </w:r>
    </w:p>
    <w:p>
      <w:pPr>
        <w:spacing w:before="40" w:after="40"/>
        <w:jc w:val="both"/>
      </w:pPr>
      <w:r>
        <w:rPr>
          <w:rFonts w:ascii="Times New Roman" w:hAnsi="Times New Roman"/>
          <w:i/>
          <w:sz w:val="18"/>
        </w:rPr>
        <w:tab/>
        <w:t>ExG(x, y) = 2G(x, y) - R(x, y) - B(x, y)</w:t>
      </w:r>
      <w:r>
        <w:rPr>
          <w:rFonts w:ascii="Times New Roman" w:hAnsi="Times New Roman"/>
          <w:sz w:val="18"/>
        </w:rPr>
        <w:tab/>
        <w:t>(3)</w:t>
      </w:r>
    </w:p>
    <w:p>
      <w:pPr>
        <w:keepNext/>
        <w:spacing w:before="80" w:after="20"/>
        <w:jc w:val="left"/>
      </w:pPr>
      <w:r>
        <w:rPr>
          <w:rFonts w:ascii="Times New Roman" w:hAnsi="Times New Roman"/>
          <w:i/>
          <w:sz w:val="18"/>
        </w:rPr>
        <w:t>2) Haralick GLCM Textures (7 Descriptors):</w:t>
      </w:r>
    </w:p>
    <w:p>
      <w:pPr>
        <w:spacing w:line="245" w:lineRule="auto" w:before="0" w:after="30"/>
        <w:ind w:firstLine="259"/>
        <w:jc w:val="both"/>
      </w:pPr>
      <w:r>
        <w:rPr>
          <w:rFonts w:ascii="Times New Roman" w:hAnsi="Times New Roman"/>
          <w:sz w:val="18"/>
        </w:rPr>
        <w:t>Texture statistics are computed from the Gray-Level Co-occurrence Matrix P(i, j | d=1, theta) averaged over orientations theta in {0, 45, 90, 135 deg} [11]:</w:t>
      </w:r>
    </w:p>
    <w:p>
      <w:pPr>
        <w:spacing w:before="40" w:after="40"/>
        <w:jc w:val="both"/>
      </w:pPr>
      <w:r>
        <w:rPr>
          <w:rFonts w:ascii="Times New Roman" w:hAnsi="Times New Roman"/>
          <w:i/>
          <w:sz w:val="18"/>
        </w:rPr>
        <w:tab/>
        <w:t>Contrast = sum_{i,j} |i - j|^2 P(i, j)</w:t>
      </w:r>
      <w:r>
        <w:rPr>
          <w:rFonts w:ascii="Times New Roman" w:hAnsi="Times New Roman"/>
          <w:sz w:val="18"/>
        </w:rPr>
        <w:tab/>
        <w:t>(4)</w:t>
      </w:r>
    </w:p>
    <w:p>
      <w:pPr>
        <w:spacing w:before="40" w:after="40"/>
        <w:jc w:val="both"/>
      </w:pPr>
      <w:r>
        <w:rPr>
          <w:rFonts w:ascii="Times New Roman" w:hAnsi="Times New Roman"/>
          <w:i/>
          <w:sz w:val="18"/>
        </w:rPr>
        <w:tab/>
        <w:t>Homogeneity = sum_{i,j} P(i, j) / (1 + |i - j|^2)</w:t>
      </w:r>
      <w:r>
        <w:rPr>
          <w:rFonts w:ascii="Times New Roman" w:hAnsi="Times New Roman"/>
          <w:sz w:val="18"/>
        </w:rPr>
        <w:tab/>
        <w:t>(5)</w:t>
      </w:r>
    </w:p>
    <w:p>
      <w:pPr>
        <w:spacing w:before="40" w:after="40"/>
        <w:jc w:val="both"/>
      </w:pPr>
      <w:r>
        <w:rPr>
          <w:rFonts w:ascii="Times New Roman" w:hAnsi="Times New Roman"/>
          <w:i/>
          <w:sz w:val="18"/>
        </w:rPr>
        <w:tab/>
        <w:t>ASM = sum_{i,j} P(i, j)^2,   Energy = sqrt(ASM)</w:t>
      </w:r>
      <w:r>
        <w:rPr>
          <w:rFonts w:ascii="Times New Roman" w:hAnsi="Times New Roman"/>
          <w:sz w:val="18"/>
        </w:rPr>
        <w:tab/>
        <w:t>(6)</w:t>
      </w:r>
    </w:p>
    <w:p>
      <w:pPr>
        <w:keepNext/>
        <w:spacing w:before="80" w:after="20"/>
        <w:jc w:val="left"/>
      </w:pPr>
      <w:r>
        <w:rPr>
          <w:rFonts w:ascii="Times New Roman" w:hAnsi="Times New Roman"/>
          <w:i/>
          <w:sz w:val="18"/>
        </w:rPr>
        <w:t>3) Contour Morphometrics (6 Descriptors):</w:t>
      </w:r>
    </w:p>
    <w:p>
      <w:pPr>
        <w:spacing w:line="245" w:lineRule="auto" w:before="0" w:after="30"/>
        <w:ind w:firstLine="259"/>
        <w:jc w:val="both"/>
      </w:pPr>
      <w:r>
        <w:rPr>
          <w:rFonts w:ascii="Times New Roman" w:hAnsi="Times New Roman"/>
          <w:sz w:val="18"/>
        </w:rPr>
        <w:t>From binary foliar leaf masks, area A, perimeter P, bounding box aspect ratio AR, circularity C_circ, solidity S, and lesion coverage ratio LCR are extracted:</w:t>
      </w:r>
    </w:p>
    <w:p>
      <w:pPr>
        <w:spacing w:before="40" w:after="40"/>
        <w:jc w:val="both"/>
      </w:pPr>
      <w:r>
        <w:rPr>
          <w:rFonts w:ascii="Times New Roman" w:hAnsi="Times New Roman"/>
          <w:i/>
          <w:sz w:val="18"/>
        </w:rPr>
        <w:tab/>
        <w:t>C_circ = (4 * pi * A) / P^2,   S = A / A_hull,   LCR = A_lesion / A_leaf</w:t>
      </w:r>
      <w:r>
        <w:rPr>
          <w:rFonts w:ascii="Times New Roman" w:hAnsi="Times New Roman"/>
          <w:sz w:val="18"/>
        </w:rPr>
        <w:tab/>
        <w:t>(7)</w:t>
      </w:r>
    </w:p>
    <w:p>
      <w:pPr>
        <w:keepNext/>
        <w:spacing w:before="80" w:after="20"/>
        <w:jc w:val="left"/>
      </w:pPr>
      <w:r>
        <w:rPr>
          <w:rFonts w:ascii="Times New Roman" w:hAnsi="Times New Roman"/>
          <w:i/>
          <w:sz w:val="18"/>
        </w:rPr>
        <w:t>4) Feature Standardization:</w:t>
      </w:r>
    </w:p>
    <w:p>
      <w:pPr>
        <w:spacing w:line="245" w:lineRule="auto" w:before="0" w:after="30"/>
        <w:ind w:firstLine="259"/>
        <w:jc w:val="both"/>
      </w:pPr>
      <w:r>
        <w:rPr>
          <w:rFonts w:ascii="Times New Roman" w:hAnsi="Times New Roman"/>
          <w:sz w:val="18"/>
        </w:rPr>
        <w:t>To eliminate scale sensitivity across disparate units, all 32 continuous descriptors are standardized via z-score normalization:</w:t>
      </w:r>
    </w:p>
    <w:p>
      <w:pPr>
        <w:spacing w:before="40" w:after="40"/>
        <w:jc w:val="both"/>
      </w:pPr>
      <w:r>
        <w:rPr>
          <w:rFonts w:ascii="Times New Roman" w:hAnsi="Times New Roman"/>
          <w:i/>
          <w:sz w:val="18"/>
        </w:rPr>
        <w:tab/>
        <w:t>z_{ij} = (x_{ij} - mu_j) / sigma_j,   forall j in {1, ..., 32}</w:t>
      </w:r>
      <w:r>
        <w:rPr>
          <w:rFonts w:ascii="Times New Roman" w:hAnsi="Times New Roman"/>
          <w:sz w:val="18"/>
        </w:rPr>
        <w:tab/>
        <w:t>(8)</w:t>
      </w:r>
    </w:p>
    <w:p>
      <w:pPr>
        <w:keepNext/>
        <w:spacing w:before="120" w:after="30"/>
        <w:jc w:val="left"/>
      </w:pPr>
      <w:r>
        <w:rPr>
          <w:rFonts w:ascii="Times New Roman" w:hAnsi="Times New Roman"/>
          <w:b/>
          <w:i/>
          <w:sz w:val="19"/>
        </w:rPr>
        <w:t>C. Unsupervised Mining &amp; Ordination</w:t>
      </w:r>
    </w:p>
    <w:p>
      <w:pPr>
        <w:spacing w:line="245" w:lineRule="auto" w:before="0" w:after="30"/>
        <w:ind w:firstLine="259"/>
        <w:jc w:val="both"/>
      </w:pPr>
      <w:r>
        <w:rPr>
          <w:rFonts w:ascii="Times New Roman" w:hAnsi="Times New Roman"/>
          <w:sz w:val="18"/>
        </w:rPr>
        <w:t>K-Means partitioning minimizes the Within-Cluster Sum of Squares (WCSS):</w:t>
      </w:r>
    </w:p>
    <w:p>
      <w:pPr>
        <w:spacing w:before="40" w:after="40"/>
        <w:jc w:val="both"/>
      </w:pPr>
      <w:r>
        <w:rPr>
          <w:rFonts w:ascii="Times New Roman" w:hAnsi="Times New Roman"/>
          <w:i/>
          <w:sz w:val="18"/>
        </w:rPr>
        <w:tab/>
        <w:t>J_K = sum_{k=1}^K sum_{z_i in C_k} || z_i - mu_k ||_2^2</w:t>
      </w:r>
      <w:r>
        <w:rPr>
          <w:rFonts w:ascii="Times New Roman" w:hAnsi="Times New Roman"/>
          <w:sz w:val="18"/>
        </w:rPr>
        <w:tab/>
        <w:t>(9)</w:t>
      </w:r>
    </w:p>
    <w:p>
      <w:pPr>
        <w:spacing w:line="245" w:lineRule="auto" w:before="0" w:after="30"/>
        <w:ind w:firstLine="259"/>
        <w:jc w:val="both"/>
      </w:pPr>
      <w:r>
        <w:rPr>
          <w:rFonts w:ascii="Times New Roman" w:hAnsi="Times New Roman"/>
          <w:sz w:val="18"/>
        </w:rPr>
        <w:t>Cluster validity is assessed across K in [2, 8] via the Silhouette coefficient s(i) = (b(i) - a(i)) / max(a(i), b(i)). PCA projects the standardized matrix Z onto the principal eigenvectors of covariance matrix Sigma = (1 / (N-1)) Z^T Z.</w:t>
      </w:r>
    </w:p>
    <w:p>
      <w:pPr>
        <w:spacing w:line="245" w:lineRule="auto" w:before="0" w:after="30"/>
        <w:ind w:firstLine="259"/>
        <w:jc w:val="both"/>
      </w:pPr>
      <w:r>
        <w:rPr>
          <w:rFonts w:ascii="Times New Roman" w:hAnsi="Times New Roman"/>
          <w:sz w:val="18"/>
        </w:rPr>
        <w:t>Association rule mining extracts frequent itemsets from 12 discretized visual descriptors. Rules X =&gt; Y are evaluated via confidence and lift:</w:t>
      </w:r>
    </w:p>
    <w:p>
      <w:pPr>
        <w:spacing w:before="40" w:after="40"/>
        <w:jc w:val="both"/>
      </w:pPr>
      <w:r>
        <w:rPr>
          <w:rFonts w:ascii="Times New Roman" w:hAnsi="Times New Roman"/>
          <w:i/>
          <w:sz w:val="18"/>
        </w:rPr>
        <w:tab/>
        <w:t>conf(X =&gt; Y) = supp(X union Y) / supp(X)</w:t>
      </w:r>
      <w:r>
        <w:rPr>
          <w:rFonts w:ascii="Times New Roman" w:hAnsi="Times New Roman"/>
          <w:sz w:val="18"/>
        </w:rPr>
        <w:tab/>
        <w:t>(10)</w:t>
      </w:r>
    </w:p>
    <w:p>
      <w:pPr>
        <w:spacing w:before="40" w:after="40"/>
        <w:jc w:val="both"/>
      </w:pPr>
      <w:r>
        <w:rPr>
          <w:rFonts w:ascii="Times New Roman" w:hAnsi="Times New Roman"/>
          <w:i/>
          <w:sz w:val="18"/>
        </w:rPr>
        <w:tab/>
        <w:t>lift(X =&gt; Y) = conf(X =&gt; Y) / supp(Y)</w:t>
      </w:r>
      <w:r>
        <w:rPr>
          <w:rFonts w:ascii="Times New Roman" w:hAnsi="Times New Roman"/>
          <w:sz w:val="18"/>
        </w:rPr>
        <w:tab/>
        <w:t>(11)</w:t>
      </w:r>
    </w:p>
    <w:p>
      <w:pPr>
        <w:keepNext/>
        <w:spacing w:before="120" w:after="30"/>
        <w:jc w:val="left"/>
      </w:pPr>
      <w:r>
        <w:rPr>
          <w:rFonts w:ascii="Times New Roman" w:hAnsi="Times New Roman"/>
          <w:b/>
          <w:i/>
          <w:sz w:val="19"/>
        </w:rPr>
        <w:t>D. Supervised Deep Learning Formulation</w:t>
      </w:r>
    </w:p>
    <w:p>
      <w:pPr>
        <w:spacing w:line="245" w:lineRule="auto" w:before="0" w:after="30"/>
        <w:ind w:firstLine="259"/>
        <w:jc w:val="both"/>
      </w:pPr>
      <w:r>
        <w:rPr>
          <w:rFonts w:ascii="Times New Roman" w:hAnsi="Times New Roman"/>
          <w:sz w:val="18"/>
        </w:rPr>
        <w:t>For bounded multiclass classification across C=25 composite crop-condition classes, we employ EfficientNet-B0 [10], which applies compound scaling across depth d = alpha^phi, width w = beta^phi, and resolution r = gamma^phi (alpha=1.2, beta=1.1, gamma=1.15). Pretrained on ImageNet-1K [18], the final linear layer is replaced with a custom projection head W_c in R^(25 x 1280):</w:t>
      </w:r>
    </w:p>
    <w:p>
      <w:pPr>
        <w:spacing w:before="40" w:after="40"/>
        <w:jc w:val="both"/>
      </w:pPr>
      <w:r>
        <w:rPr>
          <w:rFonts w:ascii="Times New Roman" w:hAnsi="Times New Roman"/>
          <w:i/>
          <w:sz w:val="18"/>
        </w:rPr>
        <w:tab/>
        <w:t>z = W_c * GAP(F_backbone(x)) + b_c</w:t>
      </w:r>
      <w:r>
        <w:rPr>
          <w:rFonts w:ascii="Times New Roman" w:hAnsi="Times New Roman"/>
          <w:sz w:val="18"/>
        </w:rPr>
        <w:tab/>
        <w:t>(12)</w:t>
      </w:r>
    </w:p>
    <w:p>
      <w:pPr>
        <w:spacing w:before="40" w:after="40"/>
        <w:jc w:val="both"/>
      </w:pPr>
      <w:r>
        <w:rPr>
          <w:rFonts w:ascii="Times New Roman" w:hAnsi="Times New Roman"/>
          <w:i/>
          <w:sz w:val="18"/>
        </w:rPr>
        <w:tab/>
        <w:t>p_k = exp(z_k) / sum_{j=1}^{25} exp(z_j)</w:t>
      </w:r>
      <w:r>
        <w:rPr>
          <w:rFonts w:ascii="Times New Roman" w:hAnsi="Times New Roman"/>
          <w:sz w:val="18"/>
        </w:rPr>
        <w:tab/>
        <w:t>(13)</w:t>
      </w:r>
    </w:p>
    <w:p>
      <w:pPr>
        <w:spacing w:line="245" w:lineRule="auto" w:before="0" w:after="30"/>
        <w:ind w:firstLine="259"/>
        <w:jc w:val="both"/>
      </w:pPr>
      <w:r>
        <w:rPr>
          <w:rFonts w:ascii="Times New Roman" w:hAnsi="Times New Roman"/>
          <w:sz w:val="18"/>
        </w:rPr>
        <w:t>Model parameters are optimized by minimizing multi-class Cross-Entropy Loss via AdamW (weight decay lambda = 10^-4) with differential learning rates (backbone: 10^-4, head: 10^-3) and dynamic ReduceLROnPlateau scheduling.</w:t>
      </w:r>
    </w:p>
    <w:p>
      <w:pPr>
        <w:spacing w:line="245" w:lineRule="auto" w:before="0" w:after="30"/>
        <w:ind w:firstLine="259"/>
        <w:jc w:val="both"/>
      </w:pPr>
      <w:r>
        <w:rPr>
          <w:rFonts w:ascii="Times New Roman" w:hAnsi="Times New Roman"/>
          <w:sz w:val="18"/>
        </w:rPr>
        <w:t>Statistical uncertainty around held-out test accuracy p^ is quantified using the Wilson Score Interval with continuity correction at a 95% confidence level (z=1.96) [19]:</w:t>
      </w:r>
    </w:p>
    <w:p>
      <w:pPr>
        <w:spacing w:before="40" w:after="40"/>
        <w:jc w:val="both"/>
      </w:pPr>
      <w:r>
        <w:rPr>
          <w:rFonts w:ascii="Times New Roman" w:hAnsi="Times New Roman"/>
          <w:i/>
          <w:sz w:val="18"/>
        </w:rPr>
        <w:tab/>
        <w:t>CI_95 = ( p^ + z^2/(2n) +/- z * sqrt( p^(1-p^)/n + z^2/(4n^2) ) ) / ( 1 + z^2/n )</w:t>
      </w:r>
      <w:r>
        <w:rPr>
          <w:rFonts w:ascii="Times New Roman" w:hAnsi="Times New Roman"/>
          <w:sz w:val="18"/>
        </w:rPr>
        <w:tab/>
        <w:t>(14)</w:t>
      </w:r>
    </w:p>
    <w:p>
      <w:pPr>
        <w:keepNext/>
        <w:spacing w:before="160" w:after="40"/>
        <w:jc w:val="center"/>
      </w:pPr>
      <w:r>
        <w:rPr>
          <w:rFonts w:ascii="Times New Roman" w:hAnsi="Times New Roman"/>
          <w:b/>
          <w:sz w:val="20"/>
        </w:rPr>
        <w:t>V. EXPERIMENTAL SETUP AND EVALUATION PROTOCOL</w:t>
      </w:r>
    </w:p>
    <w:p>
      <w:pPr>
        <w:spacing w:line="245" w:lineRule="auto" w:before="0" w:after="30"/>
        <w:ind w:firstLine="259"/>
        <w:jc w:val="both"/>
      </w:pPr>
      <w:r>
        <w:rPr>
          <w:rFonts w:ascii="Times New Roman" w:hAnsi="Times New Roman"/>
          <w:sz w:val="18"/>
        </w:rPr>
        <w:t>The canonical dataset manifest (canonical_dataset_v2.csv) contains exactly 2,596 authentic foliar observations across 14 host crops: 2,560 PlantDoc field images (98.61%) and 36 ICAR/OGD flatbed scanner rice leaf images (1.39%). Annotations comprise 1,750 diseased specimens (67.41%) and 846 healthy specimens (32.59%).</w:t>
      </w:r>
    </w:p>
    <w:p>
      <w:pPr>
        <w:spacing w:line="245" w:lineRule="auto" w:before="0" w:after="30"/>
        <w:ind w:firstLine="259"/>
        <w:jc w:val="both"/>
      </w:pPr>
      <w:r>
        <w:rPr>
          <w:rFonts w:ascii="Times New Roman" w:hAnsi="Times New Roman"/>
          <w:b/>
          <w:sz w:val="18"/>
        </w:rPr>
        <w:t>A. Perceptual Hash Leakage Prevention Protocol—</w:t>
      </w:r>
      <w:r>
        <w:rPr>
          <w:rFonts w:ascii="Times New Roman" w:hAnsi="Times New Roman"/>
          <w:sz w:val="18"/>
        </w:rPr>
        <w:t>In web-scraped corpora like PlantDoc, identical or burst-captured frames frequently appear under different filenames. Random partitioning introduces severe data leakage. To ensure complete leakage isolation, we compute 64-bit difference hashes (dHash) [20] across all images. Observations with Hamming distance D_H &lt;= 10 are clustered into disjoint equivalence groups. Using StratifiedGroupKFold, these groups are assigned atomically to training, validation, or test partitions. Cross-partition verification confirms that zero perceptual hash groups cross partition boundaries.</w:t>
      </w:r>
    </w:p>
    <w:p>
      <w:pPr>
        <w:spacing w:line="245" w:lineRule="auto" w:before="0" w:after="30"/>
        <w:ind w:firstLine="259"/>
        <w:jc w:val="both"/>
      </w:pPr>
      <w:r>
        <w:rPr>
          <w:rFonts w:ascii="Times New Roman" w:hAnsi="Times New Roman"/>
          <w:b/>
          <w:sz w:val="18"/>
        </w:rPr>
        <w:t>B. Benchmark Partitions—</w:t>
      </w:r>
      <w:r>
        <w:rPr>
          <w:rFonts w:ascii="Times New Roman" w:hAnsi="Times New Roman"/>
          <w:sz w:val="18"/>
        </w:rPr>
        <w:t>The canonical corpus is partitioned into three distinct operational sets: (1) Primary Benchmark (N=2,447): Encompasses 25 composite classes across 12 host crops, split into 1,468 train (60.0%), 489 validation (20.0%), and 490 test specimens (20.0%). (2) Excluded Rare Classes (N=113): Six rare classes with fewer than 15 total images are excluded from training to prevent extreme class collapse. (3) Out-of-Domain Scanner Subset (N=36): The 36 ICAR rice scanner images are withheld completely from training and evaluation benchmarks, serving as a dedicated distributional shift test set.</w:t>
      </w:r>
    </w:p>
    <w:p>
      <w:pPr>
        <w:keepNext/>
        <w:spacing w:before="160" w:after="40"/>
        <w:jc w:val="center"/>
      </w:pPr>
      <w:r>
        <w:rPr>
          <w:rFonts w:ascii="Times New Roman" w:hAnsi="Times New Roman"/>
          <w:b/>
          <w:sz w:val="20"/>
        </w:rPr>
        <w:t>VI. EMPIRICAL RESULTS AND DISCUSSION</w:t>
      </w:r>
    </w:p>
    <w:p>
      <w:pPr>
        <w:keepNext/>
        <w:spacing w:before="120" w:after="30"/>
        <w:jc w:val="left"/>
      </w:pPr>
      <w:r>
        <w:rPr>
          <w:rFonts w:ascii="Times New Roman" w:hAnsi="Times New Roman"/>
          <w:b/>
          <w:i/>
          <w:sz w:val="19"/>
        </w:rPr>
        <w:t>A. Model Selection Tournament</w:t>
      </w:r>
    </w:p>
    <w:p>
      <w:pPr>
        <w:spacing w:line="245" w:lineRule="auto" w:before="0" w:after="30"/>
        <w:ind w:firstLine="259"/>
        <w:jc w:val="both"/>
      </w:pPr>
      <w:r>
        <w:rPr>
          <w:rFonts w:ascii="Times New Roman" w:hAnsi="Times New Roman"/>
          <w:sz w:val="18"/>
        </w:rPr>
        <w:t>To justify the selection of EfficientNet-B0, we conducted a model comparison tournament evaluated strictly on the 489-sample validation partition. We benchmarked three distinct algorithmic paradigms: Zero-Rule Majority Baseline, RBF-SVM (32D), Random Forest (32D), and fine-tuned EfficientNet-B0.</w:t>
      </w:r>
    </w:p>
    <w:p>
      <w:pPr>
        <w:keepNext/>
        <w:spacing w:before="80" w:after="20"/>
        <w:jc w:val="center"/>
      </w:pPr>
      <w:r>
        <w:drawing>
          <wp:inline xmlns:a="http://schemas.openxmlformats.org/drawingml/2006/main" xmlns:pic="http://schemas.openxmlformats.org/drawingml/2006/picture">
            <wp:extent cx="3108960" cy="1792089"/>
            <wp:docPr id="3" name="Picture 3"/>
            <wp:cNvGraphicFramePr>
              <a:graphicFrameLocks noChangeAspect="1"/>
            </wp:cNvGraphicFramePr>
            <a:graphic>
              <a:graphicData uri="http://schemas.openxmlformats.org/drawingml/2006/picture">
                <pic:pic>
                  <pic:nvPicPr>
                    <pic:cNvPr id="0" name="fig3_model_tournament.png"/>
                    <pic:cNvPicPr/>
                  </pic:nvPicPr>
                  <pic:blipFill>
                    <a:blip r:embed="rId11"/>
                    <a:stretch>
                      <a:fillRect/>
                    </a:stretch>
                  </pic:blipFill>
                  <pic:spPr>
                    <a:xfrm>
                      <a:off x="0" y="0"/>
                      <a:ext cx="3108960" cy="1792089"/>
                    </a:xfrm>
                    <a:prstGeom prst="rect"/>
                  </pic:spPr>
                </pic:pic>
              </a:graphicData>
            </a:graphic>
          </wp:inline>
        </w:drawing>
      </w:r>
    </w:p>
    <w:p>
      <w:pPr>
        <w:spacing w:before="20" w:after="80"/>
        <w:jc w:val="both"/>
      </w:pPr>
      <w:r>
        <w:rPr>
          <w:rFonts w:ascii="Times New Roman" w:hAnsi="Times New Roman"/>
          <w:sz w:val="16"/>
        </w:rPr>
        <w:t>Fig. 3. Model Selection Tournament: Validation Macro-F1 (model selection metric) and Held-Out Test Macro-F1 across handcrafted baselines and fine-tuned EfficientNet-B0.</w:t>
      </w:r>
    </w:p>
    <w:p>
      <w:pPr>
        <w:keepNext/>
        <w:spacing w:before="120" w:after="40"/>
        <w:jc w:val="center"/>
      </w:pPr>
      <w:r>
        <w:rPr>
          <w:rFonts w:ascii="Times New Roman" w:hAnsi="Times New Roman"/>
          <w:b/>
          <w:sz w:val="17"/>
        </w:rPr>
        <w:t>TABLE II</w:t>
        <w:br/>
        <w:t>MODEL SELECTION TOURNAMENT ON VALIDATION PARTITION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610"/>
        <w:gridCol w:w="2610"/>
        <w:gridCol w:w="2610"/>
        <w:gridCol w:w="2610"/>
      </w:tblGrid>
      <w:tr>
        <w:tc>
          <w:tcPr>
            <w:tcW w:type="dxa" w:w="1728"/>
            <w:shd w:fill="EAEAEA"/>
            <w:tcMar>
              <w:top w:w="50" w:type="dxa"/>
              <w:bottom w:w="50" w:type="dxa"/>
              <w:left w:w="60" w:type="dxa"/>
              <w:right w:w="60" w:type="dxa"/>
            </w:tcMar>
          </w:tcPr>
          <w:p>
            <w:pPr>
              <w:jc w:val="center"/>
            </w:pPr>
            <w:r>
              <w:rPr>
                <w:rFonts w:ascii="Times New Roman" w:hAnsi="Times New Roman"/>
                <w:b/>
                <w:sz w:val="15"/>
              </w:rPr>
              <w:t>Model Architecture</w:t>
            </w:r>
          </w:p>
        </w:tc>
        <w:tc>
          <w:tcPr>
            <w:tcW w:type="dxa" w:w="1440"/>
            <w:shd w:fill="EAEAEA"/>
            <w:tcMar>
              <w:top w:w="50" w:type="dxa"/>
              <w:bottom w:w="50" w:type="dxa"/>
              <w:left w:w="60" w:type="dxa"/>
              <w:right w:w="60" w:type="dxa"/>
            </w:tcMar>
          </w:tcPr>
          <w:p>
            <w:pPr>
              <w:jc w:val="center"/>
            </w:pPr>
            <w:r>
              <w:rPr>
                <w:rFonts w:ascii="Times New Roman" w:hAnsi="Times New Roman"/>
                <w:b/>
                <w:sz w:val="15"/>
              </w:rPr>
              <w:t>Input Feature Space</w:t>
            </w:r>
          </w:p>
        </w:tc>
        <w:tc>
          <w:tcPr>
            <w:tcW w:type="dxa" w:w="864"/>
            <w:shd w:fill="EAEAEA"/>
            <w:tcMar>
              <w:top w:w="50" w:type="dxa"/>
              <w:bottom w:w="50" w:type="dxa"/>
              <w:left w:w="60" w:type="dxa"/>
              <w:right w:w="60" w:type="dxa"/>
            </w:tcMar>
          </w:tcPr>
          <w:p>
            <w:pPr>
              <w:jc w:val="center"/>
            </w:pPr>
            <w:r>
              <w:rPr>
                <w:rFonts w:ascii="Times New Roman" w:hAnsi="Times New Roman"/>
                <w:b/>
                <w:sz w:val="15"/>
              </w:rPr>
              <w:t>Val Macro-F1</w:t>
            </w:r>
          </w:p>
        </w:tc>
        <w:tc>
          <w:tcPr>
            <w:tcW w:type="dxa" w:w="864"/>
            <w:shd w:fill="EAEAEA"/>
            <w:tcMar>
              <w:top w:w="50" w:type="dxa"/>
              <w:bottom w:w="50" w:type="dxa"/>
              <w:left w:w="60" w:type="dxa"/>
              <w:right w:w="60" w:type="dxa"/>
            </w:tcMar>
          </w:tcPr>
          <w:p>
            <w:pPr>
              <w:jc w:val="center"/>
            </w:pPr>
            <w:r>
              <w:rPr>
                <w:rFonts w:ascii="Times New Roman" w:hAnsi="Times New Roman"/>
                <w:b/>
                <w:sz w:val="15"/>
              </w:rPr>
              <w:t>Test Macro-F1</w:t>
            </w:r>
          </w:p>
        </w:tc>
      </w:tr>
      <w:tr>
        <w:tc>
          <w:tcPr>
            <w:tcW w:type="dxa" w:w="1728"/>
            <w:tcMar>
              <w:top w:w="40" w:type="dxa"/>
              <w:bottom w:w="40" w:type="dxa"/>
              <w:left w:w="60" w:type="dxa"/>
              <w:right w:w="60" w:type="dxa"/>
            </w:tcMar>
          </w:tcPr>
          <w:p>
            <w:pPr>
              <w:jc w:val="left"/>
            </w:pPr>
            <w:r>
              <w:rPr>
                <w:rFonts w:ascii="Times New Roman" w:hAnsi="Times New Roman"/>
                <w:sz w:val="15"/>
              </w:rPr>
              <w:t>Majority Baseline</w:t>
            </w:r>
          </w:p>
        </w:tc>
        <w:tc>
          <w:tcPr>
            <w:tcW w:type="dxa" w:w="1440"/>
            <w:tcMar>
              <w:top w:w="40" w:type="dxa"/>
              <w:bottom w:w="40" w:type="dxa"/>
              <w:left w:w="60" w:type="dxa"/>
              <w:right w:w="60" w:type="dxa"/>
            </w:tcMar>
          </w:tcPr>
          <w:p>
            <w:pPr>
              <w:jc w:val="left"/>
            </w:pPr>
            <w:r>
              <w:rPr>
                <w:rFonts w:ascii="Times New Roman" w:hAnsi="Times New Roman"/>
                <w:sz w:val="15"/>
              </w:rPr>
              <w:t>Prior Class Only</w:t>
            </w:r>
          </w:p>
        </w:tc>
        <w:tc>
          <w:tcPr>
            <w:tcW w:type="dxa" w:w="864"/>
            <w:tcMar>
              <w:top w:w="40" w:type="dxa"/>
              <w:bottom w:w="40" w:type="dxa"/>
              <w:left w:w="60" w:type="dxa"/>
              <w:right w:w="60" w:type="dxa"/>
            </w:tcMar>
          </w:tcPr>
          <w:p>
            <w:pPr>
              <w:jc w:val="center"/>
            </w:pPr>
            <w:r>
              <w:rPr>
                <w:rFonts w:ascii="Times New Roman" w:hAnsi="Times New Roman"/>
                <w:sz w:val="15"/>
              </w:rPr>
              <w:t>0.58%</w:t>
            </w:r>
          </w:p>
        </w:tc>
        <w:tc>
          <w:tcPr>
            <w:tcW w:type="dxa" w:w="864"/>
            <w:tcMar>
              <w:top w:w="40" w:type="dxa"/>
              <w:bottom w:w="40" w:type="dxa"/>
              <w:left w:w="60" w:type="dxa"/>
              <w:right w:w="60" w:type="dxa"/>
            </w:tcMar>
          </w:tcPr>
          <w:p>
            <w:pPr>
              <w:jc w:val="center"/>
            </w:pPr>
            <w:r>
              <w:rPr>
                <w:rFonts w:ascii="Times New Roman" w:hAnsi="Times New Roman"/>
                <w:sz w:val="15"/>
              </w:rPr>
              <w:t>0.58%</w:t>
            </w:r>
          </w:p>
        </w:tc>
      </w:tr>
      <w:tr>
        <w:tc>
          <w:tcPr>
            <w:tcW w:type="dxa" w:w="1728"/>
            <w:tcMar>
              <w:top w:w="40" w:type="dxa"/>
              <w:bottom w:w="40" w:type="dxa"/>
              <w:left w:w="60" w:type="dxa"/>
              <w:right w:w="60" w:type="dxa"/>
            </w:tcMar>
          </w:tcPr>
          <w:p>
            <w:pPr>
              <w:jc w:val="left"/>
            </w:pPr>
            <w:r>
              <w:rPr>
                <w:rFonts w:ascii="Times New Roman" w:hAnsi="Times New Roman"/>
                <w:sz w:val="15"/>
              </w:rPr>
              <w:t>RBF-SVM (C=10)</w:t>
            </w:r>
          </w:p>
        </w:tc>
        <w:tc>
          <w:tcPr>
            <w:tcW w:type="dxa" w:w="1440"/>
            <w:tcMar>
              <w:top w:w="40" w:type="dxa"/>
              <w:bottom w:w="40" w:type="dxa"/>
              <w:left w:w="60" w:type="dxa"/>
              <w:right w:w="60" w:type="dxa"/>
            </w:tcMar>
          </w:tcPr>
          <w:p>
            <w:pPr>
              <w:jc w:val="left"/>
            </w:pPr>
            <w:r>
              <w:rPr>
                <w:rFonts w:ascii="Times New Roman" w:hAnsi="Times New Roman"/>
                <w:sz w:val="15"/>
              </w:rPr>
              <w:t>Handcrafted 32D</w:t>
            </w:r>
          </w:p>
        </w:tc>
        <w:tc>
          <w:tcPr>
            <w:tcW w:type="dxa" w:w="864"/>
            <w:tcMar>
              <w:top w:w="40" w:type="dxa"/>
              <w:bottom w:w="40" w:type="dxa"/>
              <w:left w:w="60" w:type="dxa"/>
              <w:right w:w="60" w:type="dxa"/>
            </w:tcMar>
          </w:tcPr>
          <w:p>
            <w:pPr>
              <w:jc w:val="center"/>
            </w:pPr>
            <w:r>
              <w:rPr>
                <w:rFonts w:ascii="Times New Roman" w:hAnsi="Times New Roman"/>
                <w:sz w:val="15"/>
              </w:rPr>
              <w:t>15.12%</w:t>
            </w:r>
          </w:p>
        </w:tc>
        <w:tc>
          <w:tcPr>
            <w:tcW w:type="dxa" w:w="864"/>
            <w:tcMar>
              <w:top w:w="40" w:type="dxa"/>
              <w:bottom w:w="40" w:type="dxa"/>
              <w:left w:w="60" w:type="dxa"/>
              <w:right w:w="60" w:type="dxa"/>
            </w:tcMar>
          </w:tcPr>
          <w:p>
            <w:pPr>
              <w:jc w:val="center"/>
            </w:pPr>
            <w:r>
              <w:rPr>
                <w:rFonts w:ascii="Times New Roman" w:hAnsi="Times New Roman"/>
                <w:sz w:val="15"/>
              </w:rPr>
              <w:t>19.01%</w:t>
            </w:r>
          </w:p>
        </w:tc>
      </w:tr>
      <w:tr>
        <w:tc>
          <w:tcPr>
            <w:tcW w:type="dxa" w:w="1728"/>
            <w:tcMar>
              <w:top w:w="40" w:type="dxa"/>
              <w:bottom w:w="40" w:type="dxa"/>
              <w:left w:w="60" w:type="dxa"/>
              <w:right w:w="60" w:type="dxa"/>
            </w:tcMar>
          </w:tcPr>
          <w:p>
            <w:pPr>
              <w:jc w:val="left"/>
            </w:pPr>
            <w:r>
              <w:rPr>
                <w:rFonts w:ascii="Times New Roman" w:hAnsi="Times New Roman"/>
                <w:sz w:val="15"/>
              </w:rPr>
              <w:t>Random Forest (200 trees)</w:t>
            </w:r>
          </w:p>
        </w:tc>
        <w:tc>
          <w:tcPr>
            <w:tcW w:type="dxa" w:w="1440"/>
            <w:tcMar>
              <w:top w:w="40" w:type="dxa"/>
              <w:bottom w:w="40" w:type="dxa"/>
              <w:left w:w="60" w:type="dxa"/>
              <w:right w:w="60" w:type="dxa"/>
            </w:tcMar>
          </w:tcPr>
          <w:p>
            <w:pPr>
              <w:jc w:val="left"/>
            </w:pPr>
            <w:r>
              <w:rPr>
                <w:rFonts w:ascii="Times New Roman" w:hAnsi="Times New Roman"/>
                <w:sz w:val="15"/>
              </w:rPr>
              <w:t>Handcrafted 32D</w:t>
            </w:r>
          </w:p>
        </w:tc>
        <w:tc>
          <w:tcPr>
            <w:tcW w:type="dxa" w:w="864"/>
            <w:tcMar>
              <w:top w:w="40" w:type="dxa"/>
              <w:bottom w:w="40" w:type="dxa"/>
              <w:left w:w="60" w:type="dxa"/>
              <w:right w:w="60" w:type="dxa"/>
            </w:tcMar>
          </w:tcPr>
          <w:p>
            <w:pPr>
              <w:jc w:val="center"/>
            </w:pPr>
            <w:r>
              <w:rPr>
                <w:rFonts w:ascii="Times New Roman" w:hAnsi="Times New Roman"/>
                <w:sz w:val="15"/>
              </w:rPr>
              <w:t>17.02%</w:t>
            </w:r>
          </w:p>
        </w:tc>
        <w:tc>
          <w:tcPr>
            <w:tcW w:type="dxa" w:w="864"/>
            <w:tcMar>
              <w:top w:w="40" w:type="dxa"/>
              <w:bottom w:w="40" w:type="dxa"/>
              <w:left w:w="60" w:type="dxa"/>
              <w:right w:w="60" w:type="dxa"/>
            </w:tcMar>
          </w:tcPr>
          <w:p>
            <w:pPr>
              <w:jc w:val="center"/>
            </w:pPr>
            <w:r>
              <w:rPr>
                <w:rFonts w:ascii="Times New Roman" w:hAnsi="Times New Roman"/>
                <w:sz w:val="15"/>
              </w:rPr>
              <w:t>19.19%</w:t>
            </w:r>
          </w:p>
        </w:tc>
      </w:tr>
      <w:tr>
        <w:tc>
          <w:tcPr>
            <w:tcW w:type="dxa" w:w="1728"/>
            <w:tcMar>
              <w:top w:w="40" w:type="dxa"/>
              <w:bottom w:w="40" w:type="dxa"/>
              <w:left w:w="60" w:type="dxa"/>
              <w:right w:w="60" w:type="dxa"/>
            </w:tcMar>
            <w:shd w:fill="F0F7F4"/>
          </w:tcPr>
          <w:p>
            <w:pPr>
              <w:jc w:val="left"/>
            </w:pPr>
            <w:r>
              <w:rPr>
                <w:rFonts w:ascii="Times New Roman" w:hAnsi="Times New Roman"/>
                <w:b/>
                <w:sz w:val="15"/>
              </w:rPr>
              <w:t>EfficientNet-B0 (Ours)</w:t>
            </w:r>
          </w:p>
        </w:tc>
        <w:tc>
          <w:tcPr>
            <w:tcW w:type="dxa" w:w="1440"/>
            <w:tcMar>
              <w:top w:w="40" w:type="dxa"/>
              <w:bottom w:w="40" w:type="dxa"/>
              <w:left w:w="60" w:type="dxa"/>
              <w:right w:w="60" w:type="dxa"/>
            </w:tcMar>
            <w:shd w:fill="F0F7F4"/>
          </w:tcPr>
          <w:p>
            <w:pPr>
              <w:jc w:val="left"/>
            </w:pPr>
            <w:r>
              <w:rPr>
                <w:rFonts w:ascii="Times New Roman" w:hAnsi="Times New Roman"/>
                <w:b/>
                <w:sz w:val="15"/>
              </w:rPr>
              <w:t>224x224 RGB Tensors</w:t>
            </w:r>
          </w:p>
        </w:tc>
        <w:tc>
          <w:tcPr>
            <w:tcW w:type="dxa" w:w="864"/>
            <w:tcMar>
              <w:top w:w="40" w:type="dxa"/>
              <w:bottom w:w="40" w:type="dxa"/>
              <w:left w:w="60" w:type="dxa"/>
              <w:right w:w="60" w:type="dxa"/>
            </w:tcMar>
            <w:shd w:fill="F0F7F4"/>
          </w:tcPr>
          <w:p>
            <w:pPr>
              <w:jc w:val="center"/>
            </w:pPr>
            <w:r>
              <w:rPr>
                <w:rFonts w:ascii="Times New Roman" w:hAnsi="Times New Roman"/>
                <w:b/>
                <w:sz w:val="15"/>
              </w:rPr>
              <w:t>63.26%</w:t>
            </w:r>
          </w:p>
        </w:tc>
        <w:tc>
          <w:tcPr>
            <w:tcW w:type="dxa" w:w="864"/>
            <w:tcMar>
              <w:top w:w="40" w:type="dxa"/>
              <w:bottom w:w="40" w:type="dxa"/>
              <w:left w:w="60" w:type="dxa"/>
              <w:right w:w="60" w:type="dxa"/>
            </w:tcMar>
            <w:shd w:fill="F0F7F4"/>
          </w:tcPr>
          <w:p>
            <w:pPr>
              <w:jc w:val="center"/>
            </w:pPr>
            <w:r>
              <w:rPr>
                <w:rFonts w:ascii="Times New Roman" w:hAnsi="Times New Roman"/>
                <w:b/>
                <w:sz w:val="15"/>
              </w:rPr>
              <w:t>60.84%</w:t>
            </w:r>
          </w:p>
        </w:tc>
      </w:tr>
    </w:tbl>
    <w:p>
      <w:pPr>
        <w:spacing w:line="245" w:lineRule="auto" w:before="0" w:after="30"/>
        <w:ind w:firstLine="259"/>
        <w:jc w:val="both"/>
      </w:pPr>
      <w:r>
        <w:rPr>
          <w:rFonts w:ascii="Times New Roman" w:hAnsi="Times New Roman"/>
          <w:sz w:val="18"/>
        </w:rPr>
        <w:t>As reported in Table II and Fig. 3, classical classifiers trained on handcrafted descriptors achieve validation Macro-F1 scores of only 15.12% (SVM) and 17.02% (Random Forest). While these 32 global color and texture descriptors are sufficient for clustering macro foliage types, they lack the spatial local receptive field capacity necessary to distinguish subtle fungal versus bacterial necrotic lesions. EfficientNet-B0 achieves a validation Macro-F1 of 63.26%—an absolute improvement of +46.24% over Random Forest—justifying its selection as the primary classification architecture.</w:t>
      </w:r>
    </w:p>
    <w:p>
      <w:pPr>
        <w:keepNext/>
        <w:spacing w:before="120" w:after="30"/>
        <w:jc w:val="left"/>
      </w:pPr>
      <w:r>
        <w:rPr>
          <w:rFonts w:ascii="Times New Roman" w:hAnsi="Times New Roman"/>
          <w:b/>
          <w:i/>
          <w:sz w:val="19"/>
        </w:rPr>
        <w:t>B. Held-Out Test Performance and Metrics</w:t>
      </w:r>
    </w:p>
    <w:p>
      <w:pPr>
        <w:spacing w:line="245" w:lineRule="auto" w:before="0" w:after="30"/>
        <w:ind w:firstLine="259"/>
        <w:jc w:val="both"/>
      </w:pPr>
      <w:r>
        <w:rPr>
          <w:rFonts w:ascii="Times New Roman" w:hAnsi="Times New Roman"/>
          <w:sz w:val="18"/>
        </w:rPr>
        <w:t>Evaluating the frozen EfficientNet-B0 checkpoint once on the unseen held-out test partition (N=490) yielded a Top-1 Accuracy of 61.84% (303 / 490 correct), Balanced Accuracy of 61.43%, Macro-F1 of 60.84%, and a Wilson 95% Confidence Interval of [57.46%, 66.03%]. Fig. 4 illustrates the normalized confusion matrix, and Fig. 5 shows the ranked per-class F1 distribution.</w:t>
      </w:r>
    </w:p>
    <w:p>
      <w:pPr>
        <w:keepNext/>
        <w:spacing w:before="80" w:after="20"/>
        <w:jc w:val="center"/>
      </w:pPr>
      <w:r>
        <w:drawing>
          <wp:inline xmlns:a="http://schemas.openxmlformats.org/drawingml/2006/main" xmlns:pic="http://schemas.openxmlformats.org/drawingml/2006/picture">
            <wp:extent cx="3108960" cy="2897964"/>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2"/>
                    <a:stretch>
                      <a:fillRect/>
                    </a:stretch>
                  </pic:blipFill>
                  <pic:spPr>
                    <a:xfrm>
                      <a:off x="0" y="0"/>
                      <a:ext cx="3108960" cy="2897964"/>
                    </a:xfrm>
                    <a:prstGeom prst="rect"/>
                  </pic:spPr>
                </pic:pic>
              </a:graphicData>
            </a:graphic>
          </wp:inline>
        </w:drawing>
      </w:r>
    </w:p>
    <w:p>
      <w:pPr>
        <w:spacing w:before="20" w:after="80"/>
        <w:jc w:val="both"/>
      </w:pPr>
      <w:r>
        <w:rPr>
          <w:rFonts w:ascii="Times New Roman" w:hAnsi="Times New Roman"/>
          <w:sz w:val="16"/>
        </w:rPr>
        <w:t>Fig. 4. Normalized 25-Class Confusion Matrix evaluated on the 490 held-out PlantDoc test images, illustrating strong diagonal density alongside Solanaceae lesion confounding.</w:t>
      </w:r>
    </w:p>
    <w:p>
      <w:pPr>
        <w:keepNext/>
        <w:spacing w:before="80" w:after="20"/>
        <w:jc w:val="center"/>
      </w:pPr>
      <w:r>
        <w:drawing>
          <wp:inline xmlns:a="http://schemas.openxmlformats.org/drawingml/2006/main" xmlns:pic="http://schemas.openxmlformats.org/drawingml/2006/picture">
            <wp:extent cx="3108960" cy="2906091"/>
            <wp:docPr id="5" name="Picture 5"/>
            <wp:cNvGraphicFramePr>
              <a:graphicFrameLocks noChangeAspect="1"/>
            </wp:cNvGraphicFramePr>
            <a:graphic>
              <a:graphicData uri="http://schemas.openxmlformats.org/drawingml/2006/picture">
                <pic:pic>
                  <pic:nvPicPr>
                    <pic:cNvPr id="0" name="fig6_per_class_f1.png"/>
                    <pic:cNvPicPr/>
                  </pic:nvPicPr>
                  <pic:blipFill>
                    <a:blip r:embed="rId13"/>
                    <a:stretch>
                      <a:fillRect/>
                    </a:stretch>
                  </pic:blipFill>
                  <pic:spPr>
                    <a:xfrm>
                      <a:off x="0" y="0"/>
                      <a:ext cx="3108960" cy="2906091"/>
                    </a:xfrm>
                    <a:prstGeom prst="rect"/>
                  </pic:spPr>
                </pic:pic>
              </a:graphicData>
            </a:graphic>
          </wp:inline>
        </w:drawing>
      </w:r>
    </w:p>
    <w:p>
      <w:pPr>
        <w:spacing w:before="20" w:after="80"/>
        <w:jc w:val="both"/>
      </w:pPr>
      <w:r>
        <w:rPr>
          <w:rFonts w:ascii="Times New Roman" w:hAnsi="Times New Roman"/>
          <w:sz w:val="16"/>
        </w:rPr>
        <w:t>Fig. 5. Ranked Per-Class F1-Score Breakdown across all 25 evaluated composite classes on the held-out test partition (N=490).</w:t>
      </w:r>
    </w:p>
    <w:p>
      <w:pPr>
        <w:spacing w:line="245" w:lineRule="auto" w:before="0" w:after="30"/>
        <w:ind w:firstLine="259"/>
        <w:jc w:val="both"/>
      </w:pPr>
      <w:r>
        <w:rPr>
          <w:rFonts w:ascii="Times New Roman" w:hAnsi="Times New Roman"/>
          <w:b/>
          <w:sz w:val="18"/>
        </w:rPr>
        <w:t xml:space="preserve">• Biological Confounding Analysis: </w:t>
      </w:r>
      <w:r>
        <w:rPr>
          <w:rFonts w:ascii="Times New Roman" w:hAnsi="Times New Roman"/>
          <w:sz w:val="18"/>
        </w:rPr>
        <w:t>Inspection of per-class performance reveals marked disparities: Distinctive pathological morphology achieves high fidelity, such as Squash Powdery Mildew (F1 = 90.57%), Raspberry Healthy (F1 = 83.33%), and Corn Northern Leaf Blight (F1 = 75.00%). Conversely, necrotic Solanaceae foliar diseases exhibit severe visual confounding: Tomato Bacterial Spot (F1 = 25.00%), Potato Early Blight (F1 = 32.43%), and Potato Late Blight (F1 = 39.22%). In real-world field conditions, circular dark brown necrotic spots produced by Xanthomonas campestris (Bacterial Spot) and Alternaria solani (Early Blight) exhibit near-identical visual morphology and irregular concentric halos.</w:t>
      </w:r>
    </w:p>
    <w:p>
      <w:pPr>
        <w:keepNext/>
        <w:spacing w:before="120" w:after="30"/>
        <w:jc w:val="left"/>
      </w:pPr>
      <w:r>
        <w:rPr>
          <w:rFonts w:ascii="Times New Roman" w:hAnsi="Times New Roman"/>
          <w:b/>
          <w:i/>
          <w:sz w:val="19"/>
        </w:rPr>
        <w:t>C. Relational OLAP Performance</w:t>
      </w:r>
    </w:p>
    <w:p>
      <w:pPr>
        <w:spacing w:line="245" w:lineRule="auto" w:before="0" w:after="30"/>
        <w:ind w:firstLine="259"/>
        <w:jc w:val="both"/>
      </w:pPr>
      <w:r>
        <w:rPr>
          <w:rFonts w:ascii="Times New Roman" w:hAnsi="Times New Roman"/>
          <w:sz w:val="18"/>
        </w:rPr>
        <w:t>Table III summarizes query execution latencies across the five primary OLAP operations executed against the physical SQLite star schema instance (2,596 fact records). All queries complete within 35 ms, validating the feasibility of relational interactive slicing over multimodal observations.</w:t>
      </w:r>
    </w:p>
    <w:p>
      <w:pPr>
        <w:keepNext/>
        <w:spacing w:before="120" w:after="40"/>
        <w:jc w:val="center"/>
      </w:pPr>
      <w:r>
        <w:rPr>
          <w:rFonts w:ascii="Times New Roman" w:hAnsi="Times New Roman"/>
          <w:b/>
          <w:sz w:val="17"/>
        </w:rPr>
        <w:t>TABLE III</w:t>
        <w:br/>
        <w:t>RELATIONAL OLAP QUERY EXECUTION BENCHMARKS (N = 2,596 FACTS)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480"/>
        <w:gridCol w:w="3480"/>
        <w:gridCol w:w="3480"/>
      </w:tblGrid>
      <w:tr>
        <w:tc>
          <w:tcPr>
            <w:tcW w:type="dxa" w:w="1584"/>
            <w:shd w:fill="EAEAEA"/>
            <w:tcMar>
              <w:top w:w="50" w:type="dxa"/>
              <w:bottom w:w="50" w:type="dxa"/>
              <w:left w:w="60" w:type="dxa"/>
              <w:right w:w="60" w:type="dxa"/>
            </w:tcMar>
          </w:tcPr>
          <w:p>
            <w:pPr>
              <w:jc w:val="center"/>
            </w:pPr>
            <w:r>
              <w:rPr>
                <w:rFonts w:ascii="Times New Roman" w:hAnsi="Times New Roman"/>
                <w:b/>
                <w:sz w:val="15"/>
              </w:rPr>
              <w:t>OLAP Operation</w:t>
            </w:r>
          </w:p>
        </w:tc>
        <w:tc>
          <w:tcPr>
            <w:tcW w:type="dxa" w:w="2448"/>
            <w:shd w:fill="EAEAEA"/>
            <w:tcMar>
              <w:top w:w="50" w:type="dxa"/>
              <w:bottom w:w="50" w:type="dxa"/>
              <w:left w:w="60" w:type="dxa"/>
              <w:right w:w="60" w:type="dxa"/>
            </w:tcMar>
          </w:tcPr>
          <w:p>
            <w:pPr>
              <w:jc w:val="center"/>
            </w:pPr>
            <w:r>
              <w:rPr>
                <w:rFonts w:ascii="Times New Roman" w:hAnsi="Times New Roman"/>
                <w:b/>
                <w:sz w:val="15"/>
              </w:rPr>
              <w:t>Analytical Scope &amp; Filtering</w:t>
            </w:r>
          </w:p>
        </w:tc>
        <w:tc>
          <w:tcPr>
            <w:tcW w:type="dxa" w:w="864"/>
            <w:shd w:fill="EAEAEA"/>
            <w:tcMar>
              <w:top w:w="50" w:type="dxa"/>
              <w:bottom w:w="50" w:type="dxa"/>
              <w:left w:w="60" w:type="dxa"/>
              <w:right w:w="60" w:type="dxa"/>
            </w:tcMar>
          </w:tcPr>
          <w:p>
            <w:pPr>
              <w:jc w:val="center"/>
            </w:pPr>
            <w:r>
              <w:rPr>
                <w:rFonts w:ascii="Times New Roman" w:hAnsi="Times New Roman"/>
                <w:b/>
                <w:sz w:val="15"/>
              </w:rPr>
              <w:t>Latency (ms)</w:t>
            </w:r>
          </w:p>
        </w:tc>
      </w:tr>
      <w:tr>
        <w:tc>
          <w:tcPr>
            <w:tcW w:type="dxa" w:w="1584"/>
            <w:tcMar>
              <w:top w:w="40" w:type="dxa"/>
              <w:bottom w:w="40" w:type="dxa"/>
              <w:left w:w="60" w:type="dxa"/>
              <w:right w:w="60" w:type="dxa"/>
            </w:tcMar>
          </w:tcPr>
          <w:p>
            <w:pPr>
              <w:jc w:val="left"/>
            </w:pPr>
            <w:r>
              <w:rPr>
                <w:rFonts w:ascii="Times New Roman" w:hAnsi="Times New Roman"/>
                <w:sz w:val="15"/>
              </w:rPr>
              <w:t>Roll-Up</w:t>
            </w:r>
          </w:p>
        </w:tc>
        <w:tc>
          <w:tcPr>
            <w:tcW w:type="dxa" w:w="2448"/>
            <w:tcMar>
              <w:top w:w="40" w:type="dxa"/>
              <w:bottom w:w="40" w:type="dxa"/>
              <w:left w:w="60" w:type="dxa"/>
              <w:right w:w="60" w:type="dxa"/>
            </w:tcMar>
          </w:tcPr>
          <w:p>
            <w:pPr>
              <w:jc w:val="left"/>
            </w:pPr>
            <w:r>
              <w:rPr>
                <w:rFonts w:ascii="Times New Roman" w:hAnsi="Times New Roman"/>
                <w:sz w:val="15"/>
              </w:rPr>
              <w:t>Crop Species -&gt; Higher Botanical Category</w:t>
            </w:r>
          </w:p>
        </w:tc>
        <w:tc>
          <w:tcPr>
            <w:tcW w:type="dxa" w:w="864"/>
            <w:tcMar>
              <w:top w:w="40" w:type="dxa"/>
              <w:bottom w:w="40" w:type="dxa"/>
              <w:left w:w="60" w:type="dxa"/>
              <w:right w:w="60" w:type="dxa"/>
            </w:tcMar>
          </w:tcPr>
          <w:p>
            <w:pPr>
              <w:jc w:val="center"/>
            </w:pPr>
            <w:r>
              <w:rPr>
                <w:rFonts w:ascii="Times New Roman" w:hAnsi="Times New Roman"/>
                <w:sz w:val="15"/>
              </w:rPr>
              <w:t>33.26 ms</w:t>
            </w:r>
          </w:p>
        </w:tc>
      </w:tr>
      <w:tr>
        <w:tc>
          <w:tcPr>
            <w:tcW w:type="dxa" w:w="1584"/>
            <w:tcMar>
              <w:top w:w="40" w:type="dxa"/>
              <w:bottom w:w="40" w:type="dxa"/>
              <w:left w:w="60" w:type="dxa"/>
              <w:right w:w="60" w:type="dxa"/>
            </w:tcMar>
          </w:tcPr>
          <w:p>
            <w:pPr>
              <w:jc w:val="left"/>
            </w:pPr>
            <w:r>
              <w:rPr>
                <w:rFonts w:ascii="Times New Roman" w:hAnsi="Times New Roman"/>
                <w:sz w:val="15"/>
              </w:rPr>
              <w:t>Drill-Down</w:t>
            </w:r>
          </w:p>
        </w:tc>
        <w:tc>
          <w:tcPr>
            <w:tcW w:type="dxa" w:w="2448"/>
            <w:tcMar>
              <w:top w:w="40" w:type="dxa"/>
              <w:bottom w:w="40" w:type="dxa"/>
              <w:left w:w="60" w:type="dxa"/>
              <w:right w:w="60" w:type="dxa"/>
            </w:tcMar>
          </w:tcPr>
          <w:p>
            <w:pPr>
              <w:jc w:val="left"/>
            </w:pPr>
            <w:r>
              <w:rPr>
                <w:rFonts w:ascii="Times New Roman" w:hAnsi="Times New Roman"/>
                <w:sz w:val="15"/>
              </w:rPr>
              <w:t>Category -&gt; Crop -&gt; Disease -&gt; Visual Tone</w:t>
            </w:r>
          </w:p>
        </w:tc>
        <w:tc>
          <w:tcPr>
            <w:tcW w:type="dxa" w:w="864"/>
            <w:tcMar>
              <w:top w:w="40" w:type="dxa"/>
              <w:bottom w:w="40" w:type="dxa"/>
              <w:left w:w="60" w:type="dxa"/>
              <w:right w:w="60" w:type="dxa"/>
            </w:tcMar>
          </w:tcPr>
          <w:p>
            <w:pPr>
              <w:jc w:val="center"/>
            </w:pPr>
            <w:r>
              <w:rPr>
                <w:rFonts w:ascii="Times New Roman" w:hAnsi="Times New Roman"/>
                <w:sz w:val="15"/>
              </w:rPr>
              <w:t>31.27 ms</w:t>
            </w:r>
          </w:p>
        </w:tc>
      </w:tr>
      <w:tr>
        <w:tc>
          <w:tcPr>
            <w:tcW w:type="dxa" w:w="1584"/>
            <w:tcMar>
              <w:top w:w="40" w:type="dxa"/>
              <w:bottom w:w="40" w:type="dxa"/>
              <w:left w:w="60" w:type="dxa"/>
              <w:right w:w="60" w:type="dxa"/>
            </w:tcMar>
          </w:tcPr>
          <w:p>
            <w:pPr>
              <w:jc w:val="left"/>
            </w:pPr>
            <w:r>
              <w:rPr>
                <w:rFonts w:ascii="Times New Roman" w:hAnsi="Times New Roman"/>
                <w:sz w:val="15"/>
              </w:rPr>
              <w:t>Slice</w:t>
            </w:r>
          </w:p>
        </w:tc>
        <w:tc>
          <w:tcPr>
            <w:tcW w:type="dxa" w:w="2448"/>
            <w:tcMar>
              <w:top w:w="40" w:type="dxa"/>
              <w:bottom w:w="40" w:type="dxa"/>
              <w:left w:w="60" w:type="dxa"/>
              <w:right w:w="60" w:type="dxa"/>
            </w:tcMar>
          </w:tcPr>
          <w:p>
            <w:pPr>
              <w:jc w:val="left"/>
            </w:pPr>
            <w:r>
              <w:rPr>
                <w:rFonts w:ascii="Times New Roman" w:hAnsi="Times New Roman"/>
                <w:sz w:val="15"/>
              </w:rPr>
              <w:t>Fixed Dimension (crop_name = 'Tomato')</w:t>
            </w:r>
          </w:p>
        </w:tc>
        <w:tc>
          <w:tcPr>
            <w:tcW w:type="dxa" w:w="864"/>
            <w:tcMar>
              <w:top w:w="40" w:type="dxa"/>
              <w:bottom w:w="40" w:type="dxa"/>
              <w:left w:w="60" w:type="dxa"/>
              <w:right w:w="60" w:type="dxa"/>
            </w:tcMar>
          </w:tcPr>
          <w:p>
            <w:pPr>
              <w:jc w:val="center"/>
            </w:pPr>
            <w:r>
              <w:rPr>
                <w:rFonts w:ascii="Times New Roman" w:hAnsi="Times New Roman"/>
                <w:sz w:val="15"/>
              </w:rPr>
              <w:t>14.99 ms</w:t>
            </w:r>
          </w:p>
        </w:tc>
      </w:tr>
      <w:tr>
        <w:tc>
          <w:tcPr>
            <w:tcW w:type="dxa" w:w="1584"/>
            <w:tcMar>
              <w:top w:w="40" w:type="dxa"/>
              <w:bottom w:w="40" w:type="dxa"/>
              <w:left w:w="60" w:type="dxa"/>
              <w:right w:w="60" w:type="dxa"/>
            </w:tcMar>
          </w:tcPr>
          <w:p>
            <w:pPr>
              <w:jc w:val="left"/>
            </w:pPr>
            <w:r>
              <w:rPr>
                <w:rFonts w:ascii="Times New Roman" w:hAnsi="Times New Roman"/>
                <w:sz w:val="15"/>
              </w:rPr>
              <w:t>Dice</w:t>
            </w:r>
          </w:p>
        </w:tc>
        <w:tc>
          <w:tcPr>
            <w:tcW w:type="dxa" w:w="2448"/>
            <w:tcMar>
              <w:top w:w="40" w:type="dxa"/>
              <w:bottom w:w="40" w:type="dxa"/>
              <w:left w:w="60" w:type="dxa"/>
              <w:right w:w="60" w:type="dxa"/>
            </w:tcMar>
          </w:tcPr>
          <w:p>
            <w:pPr>
              <w:jc w:val="left"/>
            </w:pPr>
            <w:r>
              <w:rPr>
                <w:rFonts w:ascii="Times New Roman" w:hAnsi="Times New Roman"/>
                <w:sz w:val="15"/>
              </w:rPr>
              <w:t>Sub-cube: Solanaceae/Fabaceae x Fungus/Bacteria</w:t>
            </w:r>
          </w:p>
        </w:tc>
        <w:tc>
          <w:tcPr>
            <w:tcW w:type="dxa" w:w="864"/>
            <w:tcMar>
              <w:top w:w="40" w:type="dxa"/>
              <w:bottom w:w="40" w:type="dxa"/>
              <w:left w:w="60" w:type="dxa"/>
              <w:right w:w="60" w:type="dxa"/>
            </w:tcMar>
          </w:tcPr>
          <w:p>
            <w:pPr>
              <w:jc w:val="center"/>
            </w:pPr>
            <w:r>
              <w:rPr>
                <w:rFonts w:ascii="Times New Roman" w:hAnsi="Times New Roman"/>
                <w:sz w:val="15"/>
              </w:rPr>
              <w:t>14.42 ms</w:t>
            </w:r>
          </w:p>
        </w:tc>
      </w:tr>
      <w:tr>
        <w:tc>
          <w:tcPr>
            <w:tcW w:type="dxa" w:w="1584"/>
            <w:tcMar>
              <w:top w:w="40" w:type="dxa"/>
              <w:bottom w:w="40" w:type="dxa"/>
              <w:left w:w="60" w:type="dxa"/>
              <w:right w:w="60" w:type="dxa"/>
            </w:tcMar>
          </w:tcPr>
          <w:p>
            <w:pPr>
              <w:jc w:val="left"/>
            </w:pPr>
            <w:r>
              <w:rPr>
                <w:rFonts w:ascii="Times New Roman" w:hAnsi="Times New Roman"/>
                <w:sz w:val="15"/>
              </w:rPr>
              <w:t>Pivot</w:t>
            </w:r>
          </w:p>
        </w:tc>
        <w:tc>
          <w:tcPr>
            <w:tcW w:type="dxa" w:w="2448"/>
            <w:tcMar>
              <w:top w:w="40" w:type="dxa"/>
              <w:bottom w:w="40" w:type="dxa"/>
              <w:left w:w="60" w:type="dxa"/>
              <w:right w:w="60" w:type="dxa"/>
            </w:tcMar>
          </w:tcPr>
          <w:p>
            <w:pPr>
              <w:jc w:val="left"/>
            </w:pPr>
            <w:r>
              <w:rPr>
                <w:rFonts w:ascii="Times New Roman" w:hAnsi="Times New Roman"/>
                <w:sz w:val="15"/>
              </w:rPr>
              <w:t>14 Crops x 4 Pathogen Classes Cross-Tab</w:t>
            </w:r>
          </w:p>
        </w:tc>
        <w:tc>
          <w:tcPr>
            <w:tcW w:type="dxa" w:w="864"/>
            <w:tcMar>
              <w:top w:w="40" w:type="dxa"/>
              <w:bottom w:w="40" w:type="dxa"/>
              <w:left w:w="60" w:type="dxa"/>
              <w:right w:w="60" w:type="dxa"/>
            </w:tcMar>
          </w:tcPr>
          <w:p>
            <w:pPr>
              <w:jc w:val="center"/>
            </w:pPr>
            <w:r>
              <w:rPr>
                <w:rFonts w:ascii="Times New Roman" w:hAnsi="Times New Roman"/>
                <w:sz w:val="15"/>
              </w:rPr>
              <w:t>12.57 ms</w:t>
            </w:r>
          </w:p>
        </w:tc>
      </w:tr>
    </w:tbl>
    <w:p>
      <w:pPr>
        <w:keepNext/>
        <w:spacing w:before="120" w:after="30"/>
        <w:jc w:val="left"/>
      </w:pPr>
      <w:r>
        <w:rPr>
          <w:rFonts w:ascii="Times New Roman" w:hAnsi="Times New Roman"/>
          <w:b/>
          <w:i/>
          <w:sz w:val="19"/>
        </w:rPr>
        <w:t>D. Unsupervised Ordination &amp; PCA Separation</w:t>
      </w:r>
    </w:p>
    <w:p>
      <w:pPr>
        <w:spacing w:line="245" w:lineRule="auto" w:before="0" w:after="30"/>
        <w:ind w:firstLine="259"/>
        <w:jc w:val="both"/>
      </w:pPr>
      <w:r>
        <w:rPr>
          <w:rFonts w:ascii="Times New Roman" w:hAnsi="Times New Roman"/>
          <w:sz w:val="18"/>
        </w:rPr>
        <w:t>K-Means clustering across K in [2, 8] reveals that the 32D standardized descriptor space attains its global mathematical optimum at K=2 (Silhouette = 0.4060, Davies-Bouldin = 1.0990, Calinski-Harabasz = 1,154.38). As depicted in Fig. 6, the first two principal components account for 52.11% of total variance (PC1 = 38.56%, PC2 = 13.55%). Physical factor loading analysis confirms that PC1 is heavily loaded on foliar luminance (RGB_R +0.252, RGB_G +0.248, GLCM_ASM +0.248), separating dense green canopies from bright reflective leaves. PC2 is loaded on textural contrast (GLCM_contrast +0.384, GLCM_dissim +0.379), separating smooth blades from mottled necrotic lesions.</w:t>
      </w:r>
    </w:p>
    <w:p>
      <w:pPr>
        <w:keepNext/>
        <w:spacing w:before="80" w:after="20"/>
        <w:jc w:val="center"/>
      </w:pPr>
      <w:r>
        <w:drawing>
          <wp:inline xmlns:a="http://schemas.openxmlformats.org/drawingml/2006/main" xmlns:pic="http://schemas.openxmlformats.org/drawingml/2006/picture">
            <wp:extent cx="3108960" cy="2077732"/>
            <wp:docPr id="6" name="Picture 6"/>
            <wp:cNvGraphicFramePr>
              <a:graphicFrameLocks noChangeAspect="1"/>
            </wp:cNvGraphicFramePr>
            <a:graphic>
              <a:graphicData uri="http://schemas.openxmlformats.org/drawingml/2006/picture">
                <pic:pic>
                  <pic:nvPicPr>
                    <pic:cNvPr id="0" name="fig5_pca_clusters.png"/>
                    <pic:cNvPicPr/>
                  </pic:nvPicPr>
                  <pic:blipFill>
                    <a:blip r:embed="rId14"/>
                    <a:stretch>
                      <a:fillRect/>
                    </a:stretch>
                  </pic:blipFill>
                  <pic:spPr>
                    <a:xfrm>
                      <a:off x="0" y="0"/>
                      <a:ext cx="3108960" cy="2077732"/>
                    </a:xfrm>
                    <a:prstGeom prst="rect"/>
                  </pic:spPr>
                </pic:pic>
              </a:graphicData>
            </a:graphic>
          </wp:inline>
        </w:drawing>
      </w:r>
    </w:p>
    <w:p>
      <w:pPr>
        <w:spacing w:before="20" w:after="80"/>
        <w:jc w:val="both"/>
      </w:pPr>
      <w:r>
        <w:rPr>
          <w:rFonts w:ascii="Times New Roman" w:hAnsi="Times New Roman"/>
          <w:sz w:val="16"/>
        </w:rPr>
        <w:t>Fig. 6. 2D PCA projection of standardized 32D visual descriptors (52.11% total variance), demonstrating cluster distributions and severe domain shift of flatbed scanner rice leaf imagery (N=36).</w:t>
      </w:r>
    </w:p>
    <w:p>
      <w:pPr>
        <w:keepNext/>
        <w:spacing w:before="120" w:after="30"/>
        <w:jc w:val="left"/>
      </w:pPr>
      <w:r>
        <w:rPr>
          <w:rFonts w:ascii="Times New Roman" w:hAnsi="Times New Roman"/>
          <w:b/>
          <w:i/>
          <w:sz w:val="19"/>
        </w:rPr>
        <w:t>E. Cross-Modal Out-of-Domain Safeguard</w:t>
      </w:r>
    </w:p>
    <w:p>
      <w:pPr>
        <w:spacing w:line="245" w:lineRule="auto" w:before="0" w:after="30"/>
        <w:ind w:firstLine="259"/>
        <w:jc w:val="both"/>
      </w:pPr>
      <w:r>
        <w:rPr>
          <w:rFonts w:ascii="Times New Roman" w:hAnsi="Times New Roman"/>
          <w:sz w:val="18"/>
        </w:rPr>
        <w:t>When the 36 ICAR flatbed scanner rice leaf images were passed through the naive closed-world EfficientNet-B0 classifier, the model predicted Corn Common Rust with over 90% probability. Botanical investigation explains the root cause: among the 12 training crops, Corn is the sole graminoid monocot leaf with parallel venation (all other 11 crops are broad-leaved dicots). Flatbed scanner rice leaves possess linear, parallel-veined margins; hence, convolutional edge filters activated heavily on Corn features, forcing the closed-world softmax to select Corn.</w:t>
      </w:r>
    </w:p>
    <w:p>
      <w:pPr>
        <w:spacing w:line="245" w:lineRule="auto" w:before="0" w:after="30"/>
        <w:ind w:firstLine="259"/>
        <w:jc w:val="both"/>
      </w:pPr>
      <w:r>
        <w:rPr>
          <w:rFonts w:ascii="Times New Roman" w:hAnsi="Times New Roman"/>
          <w:sz w:val="18"/>
        </w:rPr>
        <w:t>Rather than fitting an unvalidated threshold heuristic on test probabilities, AgroVision-Mine implements a cross-modal verification check utilizing the 32D descriptor store. During runtime inference, the query image's standardized 32D vector is compared against warehouse references. When nearest neighbors identify an acquisition source or crop label outside the 25 supported classes (e.g., dataset_source = 'icar_ogd'), the system flags status: 'unsupported_domain' and triggers a prominent warning banner in the visual workbench (Fig. 7).</w:t>
      </w:r>
    </w:p>
    <w:p>
      <w:pPr>
        <w:keepNext/>
        <w:spacing w:before="80" w:after="20"/>
        <w:jc w:val="center"/>
      </w:pPr>
      <w:r>
        <w:drawing>
          <wp:inline xmlns:a="http://schemas.openxmlformats.org/drawingml/2006/main" xmlns:pic="http://schemas.openxmlformats.org/drawingml/2006/picture">
            <wp:extent cx="3108960" cy="5440680"/>
            <wp:docPr id="7" name="Picture 7"/>
            <wp:cNvGraphicFramePr>
              <a:graphicFrameLocks noChangeAspect="1"/>
            </wp:cNvGraphicFramePr>
            <a:graphic>
              <a:graphicData uri="http://schemas.openxmlformats.org/drawingml/2006/picture">
                <pic:pic>
                  <pic:nvPicPr>
                    <pic:cNvPr id="0" name="fig7_inference_workbench.png"/>
                    <pic:cNvPicPr/>
                  </pic:nvPicPr>
                  <pic:blipFill>
                    <a:blip r:embed="rId15"/>
                    <a:stretch>
                      <a:fillRect/>
                    </a:stretch>
                  </pic:blipFill>
                  <pic:spPr>
                    <a:xfrm>
                      <a:off x="0" y="0"/>
                      <a:ext cx="3108960" cy="5440680"/>
                    </a:xfrm>
                    <a:prstGeom prst="rect"/>
                  </pic:spPr>
                </pic:pic>
              </a:graphicData>
            </a:graphic>
          </wp:inline>
        </w:drawing>
      </w:r>
    </w:p>
    <w:p>
      <w:pPr>
        <w:spacing w:before="20" w:after="80"/>
        <w:jc w:val="both"/>
      </w:pPr>
      <w:r>
        <w:rPr>
          <w:rFonts w:ascii="Times New Roman" w:hAnsi="Times New Roman"/>
          <w:sz w:val="16"/>
        </w:rPr>
        <w:t>Fig. 7. Runtime Visual Specimen Workbench demonstration: Top: Authentic Apple Healthy prediction (97.6% confidence); Bottom: ICAR Rice scanner specimen triggering the automated cross-modal out-of-domain rejection alert.</w:t>
      </w:r>
    </w:p>
    <w:p>
      <w:pPr>
        <w:keepNext/>
        <w:spacing w:before="160" w:after="40"/>
        <w:jc w:val="center"/>
      </w:pPr>
      <w:r>
        <w:rPr>
          <w:rFonts w:ascii="Times New Roman" w:hAnsi="Times New Roman"/>
          <w:b/>
          <w:sz w:val="20"/>
        </w:rPr>
        <w:t>VII. THREATS TO VALIDITY AND SCIENTIFIC LIMITATIONS</w:t>
      </w:r>
    </w:p>
    <w:p>
      <w:pPr>
        <w:spacing w:line="245" w:lineRule="auto" w:before="0" w:after="30"/>
        <w:ind w:firstLine="259"/>
        <w:jc w:val="both"/>
      </w:pPr>
      <w:r>
        <w:rPr>
          <w:rFonts w:ascii="Times New Roman" w:hAnsi="Times New Roman"/>
          <w:sz w:val="18"/>
        </w:rPr>
        <w:t>To maintain rigorous academic integrity, several fundamental methodological limitations must be stated:</w:t>
      </w:r>
    </w:p>
    <w:p>
      <w:pPr>
        <w:spacing w:line="245" w:lineRule="auto" w:before="0" w:after="30"/>
        <w:ind w:firstLine="259"/>
        <w:jc w:val="both"/>
      </w:pPr>
      <w:r>
        <w:rPr>
          <w:rFonts w:ascii="Times New Roman" w:hAnsi="Times New Roman"/>
          <w:b/>
          <w:sz w:val="18"/>
        </w:rPr>
        <w:t xml:space="preserve">1) Closed-World Taxonomic Scope: </w:t>
      </w:r>
      <w:r>
        <w:rPr>
          <w:rFonts w:ascii="Times New Roman" w:hAnsi="Times New Roman"/>
          <w:sz w:val="18"/>
        </w:rPr>
        <w:t>The supervised model is bounded to 25 composite classes across 12 host crops. It cannot diagnose arbitrary unseen agricultural plants or novel exotic pathogens.</w:t>
      </w:r>
    </w:p>
    <w:p>
      <w:pPr>
        <w:spacing w:line="245" w:lineRule="auto" w:before="0" w:after="30"/>
        <w:ind w:firstLine="259"/>
        <w:jc w:val="both"/>
      </w:pPr>
      <w:r>
        <w:rPr>
          <w:rFonts w:ascii="Times New Roman" w:hAnsi="Times New Roman"/>
          <w:b/>
          <w:sz w:val="18"/>
        </w:rPr>
        <w:t xml:space="preserve">2) Dataset Confounding in Raw PlantDoc: </w:t>
      </w:r>
      <w:r>
        <w:rPr>
          <w:rFonts w:ascii="Times New Roman" w:hAnsi="Times New Roman"/>
          <w:sz w:val="18"/>
        </w:rPr>
        <w:t>In the raw PlantDoc corpus, seven crops (Bell Pepper, Blueberry, Peach, Raspberry, Soybean, Squash, Strawberry) contain exclusively healthy or exclusively diseased observations. An unconditioned binary classifier trained across all crops learns to predict crop species rather than pathological state.</w:t>
      </w:r>
    </w:p>
    <w:p>
      <w:pPr>
        <w:spacing w:line="245" w:lineRule="auto" w:before="0" w:after="30"/>
        <w:ind w:firstLine="259"/>
        <w:jc w:val="both"/>
      </w:pPr>
      <w:r>
        <w:rPr>
          <w:rFonts w:ascii="Times New Roman" w:hAnsi="Times New Roman"/>
          <w:b/>
          <w:sz w:val="18"/>
        </w:rPr>
        <w:t xml:space="preserve">3) Scanner vs. Field Domain Shift: </w:t>
      </w:r>
      <w:r>
        <w:rPr>
          <w:rFonts w:ascii="Times New Roman" w:hAnsi="Times New Roman"/>
          <w:sz w:val="18"/>
        </w:rPr>
        <w:t>As demonstrated by the PCA ordination (Fig. 6), flatbed scanner images exhibit pure white background saturations that shift PC1 markedly, rendering laboratory or scanner imagery non-generalizable to farm field photography without domain adaptation.</w:t>
      </w:r>
    </w:p>
    <w:p>
      <w:pPr>
        <w:spacing w:line="245" w:lineRule="auto" w:before="0" w:after="30"/>
        <w:ind w:firstLine="259"/>
        <w:jc w:val="both"/>
      </w:pPr>
      <w:r>
        <w:rPr>
          <w:rFonts w:ascii="Times New Roman" w:hAnsi="Times New Roman"/>
          <w:b/>
          <w:sz w:val="18"/>
        </w:rPr>
        <w:t xml:space="preserve">4) Non-Diagnostic Nature of Geometric Retrieval: </w:t>
      </w:r>
      <w:r>
        <w:rPr>
          <w:rFonts w:ascii="Times New Roman" w:hAnsi="Times New Roman"/>
          <w:sz w:val="18"/>
        </w:rPr>
        <w:t>Nearest-reference Euclidean proximity in 32D feature space reflects geometric and textural similarity, not certified microbiological or PCR-confirmed pathogen etiology. Softmax output probabilities reflect relative network activations within a closed label space, not calibrated epidemiological likelihoods.</w:t>
      </w:r>
    </w:p>
    <w:p>
      <w:pPr>
        <w:keepNext/>
        <w:spacing w:before="160" w:after="40"/>
        <w:jc w:val="center"/>
      </w:pPr>
      <w:r>
        <w:rPr>
          <w:rFonts w:ascii="Times New Roman" w:hAnsi="Times New Roman"/>
          <w:b/>
          <w:sz w:val="20"/>
        </w:rPr>
        <w:t>VIII. CONCLUSION AND FUTURE WORK</w:t>
      </w:r>
    </w:p>
    <w:p>
      <w:pPr>
        <w:spacing w:line="245" w:lineRule="auto" w:before="0" w:after="30"/>
        <w:ind w:firstLine="259"/>
        <w:jc w:val="both"/>
      </w:pPr>
      <w:r>
        <w:rPr>
          <w:rFonts w:ascii="Times New Roman" w:hAnsi="Times New Roman"/>
          <w:sz w:val="18"/>
        </w:rPr>
        <w:t>This paper presented AgroVision-Mine, an integrated agricultural computer vision and multimodal data warehousing framework that bridges the gap between deep visual inference and relational analytical intelligence. By unifying a five-stage quality gate, a 32D explainable feature store, a Kimball star schema warehouse, sub-35 ms relational OLAP slicing, and an EfficientNet-B0 transfer learning module (61.84% test accuracy on 25 classes), the framework enables auditable, multidimensional disease intelligence. Furthermore, the cross-modal out-of-domain safeguard provides a defensible mechanism to prevent false clinical attributions on unsupported acquisition domains.</w:t>
      </w:r>
    </w:p>
    <w:p>
      <w:pPr>
        <w:spacing w:line="245" w:lineRule="auto" w:before="0" w:after="30"/>
        <w:ind w:firstLine="259"/>
        <w:jc w:val="both"/>
      </w:pPr>
      <w:r>
        <w:rPr>
          <w:rFonts w:ascii="Times New Roman" w:hAnsi="Times New Roman"/>
          <w:sz w:val="18"/>
        </w:rPr>
        <w:t>Future extensions will incorporate multi-spectral drone imagery into the fact schema, implement temperature-scaled probability calibration, expand the benchmark to 50+ classes with few-shot learning for rare crops, and evaluate edge quantization on low-power agricultural IoT hardware.</w:t>
      </w:r>
    </w:p>
    <w:p>
      <w:pPr>
        <w:keepNext/>
        <w:spacing w:before="160" w:after="40"/>
        <w:jc w:val="center"/>
      </w:pPr>
      <w:r>
        <w:rPr>
          <w:rFonts w:ascii="Times New Roman" w:hAnsi="Times New Roman"/>
          <w:b/>
          <w:sz w:val="20"/>
        </w:rPr>
        <w:t>REFERENCES</w:t>
      </w:r>
    </w:p>
    <w:p>
      <w:pPr>
        <w:spacing w:line="252" w:lineRule="auto" w:before="0" w:after="40"/>
        <w:ind w:left="360" w:hanging="360"/>
        <w:jc w:val="both"/>
      </w:pPr>
      <w:r>
        <w:rPr>
          <w:rFonts w:ascii="Times New Roman" w:hAnsi="Times New Roman"/>
          <w:sz w:val="16"/>
        </w:rPr>
        <w:t>[1] J. G. A. Barbedo, "Impact of dataset size and variety on the effectiveness of deep learning and transfer learning for plant pathology and pest identification," Biosystems Engineering, vol. 172, pp. 86–101, 2018.</w:t>
      </w:r>
    </w:p>
    <w:p>
      <w:pPr>
        <w:spacing w:line="252" w:lineRule="auto" w:before="0" w:after="40"/>
        <w:ind w:left="360" w:hanging="360"/>
        <w:jc w:val="both"/>
      </w:pPr>
      <w:r>
        <w:rPr>
          <w:rFonts w:ascii="Times New Roman" w:hAnsi="Times New Roman"/>
          <w:sz w:val="16"/>
        </w:rPr>
        <w:t>[2] S. P. Mohanty, D. P. Hughes, and M. Salathé, "Using deep learning for image-based plant disease detection," Frontiers in Plant Science, vol. 7, p. 1419, 2016.</w:t>
      </w:r>
    </w:p>
    <w:p>
      <w:pPr>
        <w:spacing w:line="252" w:lineRule="auto" w:before="0" w:after="40"/>
        <w:ind w:left="360" w:hanging="360"/>
        <w:jc w:val="both"/>
      </w:pPr>
      <w:r>
        <w:rPr>
          <w:rFonts w:ascii="Times New Roman" w:hAnsi="Times New Roman"/>
          <w:sz w:val="16"/>
        </w:rPr>
        <w:t>[3] D. P. Hughes and M. Salathé, "An open access repository of images on plant health to enable the development of mobile disease diagnostics," arXiv preprint arXiv:1511.08060, 2015.</w:t>
      </w:r>
    </w:p>
    <w:p>
      <w:pPr>
        <w:spacing w:line="252" w:lineRule="auto" w:before="0" w:after="40"/>
        <w:ind w:left="360" w:hanging="360"/>
        <w:jc w:val="both"/>
      </w:pPr>
      <w:r>
        <w:rPr>
          <w:rFonts w:ascii="Times New Roman" w:hAnsi="Times New Roman"/>
          <w:sz w:val="16"/>
        </w:rPr>
        <w:t>[4] K. P. Ferentinos, "Deep learning models for plant disease detection and diagnosis," Computers and Electronics in Agriculture, vol. 145, pp. 311–318, 2018.</w:t>
      </w:r>
    </w:p>
    <w:p>
      <w:pPr>
        <w:spacing w:line="252" w:lineRule="auto" w:before="0" w:after="40"/>
        <w:ind w:left="360" w:hanging="360"/>
        <w:jc w:val="both"/>
      </w:pPr>
      <w:r>
        <w:rPr>
          <w:rFonts w:ascii="Times New Roman" w:hAnsi="Times New Roman"/>
          <w:sz w:val="16"/>
        </w:rPr>
        <w:t>[5] D. Singh, N. Jain, P. Jain, P. Kayal, S. Kumawat, and N. Batra, "PlantDoc: A dataset for visual plant disease detection in the wild," in Proc. 7th ACM IKDD CoDS and 25th COMAD, 2020, pp. 249–253.</w:t>
      </w:r>
    </w:p>
    <w:p>
      <w:pPr>
        <w:spacing w:line="252" w:lineRule="auto" w:before="0" w:after="40"/>
        <w:ind w:left="360" w:hanging="360"/>
        <w:jc w:val="both"/>
      </w:pPr>
      <w:r>
        <w:rPr>
          <w:rFonts w:ascii="Times New Roman" w:hAnsi="Times New Roman"/>
          <w:sz w:val="16"/>
        </w:rPr>
        <w:t>[6] E. C. Too, L. Li, S. Njuki, and Y. Liu, "A comparative study of fine-tuning deep learning architectures for plant disease identification," Computers and Electronics in Agriculture, vol. 161, pp. 272–279, 2019.</w:t>
      </w:r>
    </w:p>
    <w:p>
      <w:pPr>
        <w:spacing w:line="252" w:lineRule="auto" w:before="0" w:after="40"/>
        <w:ind w:left="360" w:hanging="360"/>
        <w:jc w:val="both"/>
      </w:pPr>
      <w:r>
        <w:rPr>
          <w:rFonts w:ascii="Times New Roman" w:hAnsi="Times New Roman"/>
          <w:sz w:val="16"/>
        </w:rPr>
        <w:t>[7] R. Kimball and M. Ross, The Data Warehouse Toolkit: The Definitive Guide to Dimensional Modeling, 3rd ed. John Wiley &amp; Sons, 2013.</w:t>
      </w:r>
    </w:p>
    <w:p>
      <w:pPr>
        <w:spacing w:line="252" w:lineRule="auto" w:before="0" w:after="40"/>
        <w:ind w:left="360" w:hanging="360"/>
        <w:jc w:val="both"/>
      </w:pPr>
      <w:r>
        <w:rPr>
          <w:rFonts w:ascii="Times New Roman" w:hAnsi="Times New Roman"/>
          <w:sz w:val="16"/>
        </w:rPr>
        <w:t>[8] A. Torralba and A. A. Efros, "Unbiased look at dataset bias," in Proc. IEEE Conf. Comput. Vis. Pattern Recognit. (CVPR), 2011, pp. 1521–1528.</w:t>
      </w:r>
    </w:p>
    <w:p>
      <w:pPr>
        <w:spacing w:line="252" w:lineRule="auto" w:before="0" w:after="40"/>
        <w:ind w:left="360" w:hanging="360"/>
        <w:jc w:val="both"/>
      </w:pPr>
      <w:r>
        <w:rPr>
          <w:rFonts w:ascii="Times New Roman" w:hAnsi="Times New Roman"/>
          <w:sz w:val="16"/>
        </w:rPr>
        <w:t>[9] R. Geirhos, J.-H. Jacobsen, C. Michaelis, R. Zemel, W. Brendel, M. Bethge, and F. A. Wichmann, "Shortcut learning in deep neural networks," Nature Machine Intelligence, vol. 2, no. 11, pp. 665–673, 2020.</w:t>
      </w:r>
    </w:p>
    <w:p>
      <w:pPr>
        <w:spacing w:line="252" w:lineRule="auto" w:before="0" w:after="40"/>
        <w:ind w:left="360" w:hanging="360"/>
        <w:jc w:val="both"/>
      </w:pPr>
      <w:r>
        <w:rPr>
          <w:rFonts w:ascii="Times New Roman" w:hAnsi="Times New Roman"/>
          <w:sz w:val="16"/>
        </w:rPr>
        <w:t>[10] M. Tan and Q. V. Le, "EfficientNet: Rethinking model scaling for convolutional neural networks," in Proc. 36th Int. Conf. Mach. Learn. (ICML), 2019, pp. 6105–6114.</w:t>
      </w:r>
    </w:p>
    <w:p>
      <w:pPr>
        <w:spacing w:line="252" w:lineRule="auto" w:before="0" w:after="40"/>
        <w:ind w:left="360" w:hanging="360"/>
        <w:jc w:val="both"/>
      </w:pPr>
      <w:r>
        <w:rPr>
          <w:rFonts w:ascii="Times New Roman" w:hAnsi="Times New Roman"/>
          <w:sz w:val="16"/>
        </w:rPr>
        <w:t>[11] R. M. Haralick, K. Shanmugam, and I. Dinstein, "Textural features for image classification," IEEE Trans. Syst., Man, Cybern., vol. SMC-3, no. 6, pp. 610–621, 1973.</w:t>
      </w:r>
    </w:p>
    <w:p>
      <w:pPr>
        <w:spacing w:line="252" w:lineRule="auto" w:before="0" w:after="40"/>
        <w:ind w:left="360" w:hanging="360"/>
        <w:jc w:val="both"/>
      </w:pPr>
      <w:r>
        <w:rPr>
          <w:rFonts w:ascii="Times New Roman" w:hAnsi="Times New Roman"/>
          <w:sz w:val="16"/>
        </w:rPr>
        <w:t>[12] F. Pedregosa et al., "Scikit-learn: Machine learning in Python," Journal of Machine Learning Research, vol. 12, pp. 2825–2830, 2011.</w:t>
      </w:r>
    </w:p>
    <w:p>
      <w:pPr>
        <w:spacing w:line="252" w:lineRule="auto" w:before="0" w:after="40"/>
        <w:ind w:left="360" w:hanging="360"/>
        <w:jc w:val="both"/>
      </w:pPr>
      <w:r>
        <w:rPr>
          <w:rFonts w:ascii="Times New Roman" w:hAnsi="Times New Roman"/>
          <w:sz w:val="16"/>
        </w:rPr>
        <w:t>[13] R. Agrawal and R. Srikant, "Fast algorithms for mining association rules in large databases," in Proc. 20th Int. Conf. Very Large Data Bases (VLDB), 1994, pp. 487–499.</w:t>
      </w:r>
    </w:p>
    <w:p>
      <w:pPr>
        <w:spacing w:line="252" w:lineRule="auto" w:before="0" w:after="40"/>
        <w:ind w:left="360" w:hanging="360"/>
        <w:jc w:val="both"/>
      </w:pPr>
      <w:r>
        <w:rPr>
          <w:rFonts w:ascii="Times New Roman" w:hAnsi="Times New Roman"/>
          <w:sz w:val="16"/>
        </w:rPr>
        <w:t>[14] J. Han, J. Pei, and Y. Yin, "Mining frequent patterns without candidate generation," in Proc. ACM SIGMOD Int. Conf. Manage. Data, 2000, pp. 1–12.</w:t>
      </w:r>
    </w:p>
    <w:p>
      <w:pPr>
        <w:spacing w:line="252" w:lineRule="auto" w:before="0" w:after="40"/>
        <w:ind w:left="360" w:hanging="360"/>
        <w:jc w:val="both"/>
      </w:pPr>
      <w:r>
        <w:rPr>
          <w:rFonts w:ascii="Times New Roman" w:hAnsi="Times New Roman"/>
          <w:sz w:val="16"/>
        </w:rPr>
        <w:t>[15] E. F. Codd, S. B. Codd, and C. T. Salley, "Providing OLAP to user-analysts: An IT mandate," E. F. Codd and Associates, vol. 32, 1993.</w:t>
      </w:r>
    </w:p>
    <w:p>
      <w:pPr>
        <w:spacing w:line="252" w:lineRule="auto" w:before="0" w:after="40"/>
        <w:ind w:left="360" w:hanging="360"/>
        <w:jc w:val="both"/>
      </w:pPr>
      <w:r>
        <w:rPr>
          <w:rFonts w:ascii="Times New Roman" w:hAnsi="Times New Roman"/>
          <w:sz w:val="16"/>
        </w:rPr>
        <w:t>[16] D. R. Hipp, "SQLite: An in-process relational database management system," 2020. [Online]. Available: https://www.sqlite.org/</w:t>
      </w:r>
    </w:p>
    <w:p>
      <w:pPr>
        <w:spacing w:line="252" w:lineRule="auto" w:before="0" w:after="40"/>
        <w:ind w:left="360" w:hanging="360"/>
        <w:jc w:val="both"/>
      </w:pPr>
      <w:r>
        <w:rPr>
          <w:rFonts w:ascii="Times New Roman" w:hAnsi="Times New Roman"/>
          <w:sz w:val="16"/>
        </w:rPr>
        <w:t>[17] S. Ramírez, "FastAPI: Modern, fast (high-performance) web framework for building APIs with Python," 2018. [Online]. Available: https://github.com/tiangolo/fastapi</w:t>
      </w:r>
    </w:p>
    <w:p>
      <w:pPr>
        <w:spacing w:line="252" w:lineRule="auto" w:before="0" w:after="40"/>
        <w:ind w:left="360" w:hanging="360"/>
        <w:jc w:val="both"/>
      </w:pPr>
      <w:r>
        <w:rPr>
          <w:rFonts w:ascii="Times New Roman" w:hAnsi="Times New Roman"/>
          <w:sz w:val="16"/>
        </w:rPr>
        <w:t>[18] J. Deng, W. Dong, R. Socher, L.-J. Li, K. Li, and L. Fei-Fei, "ImageNet: A large-scale hierarchical image database," in Proc. IEEE Conf. Comput. Vis. Pattern Recognit. (CVPR), 2009, pp. 248–255.</w:t>
      </w:r>
    </w:p>
    <w:p>
      <w:pPr>
        <w:spacing w:line="252" w:lineRule="auto" w:before="0" w:after="40"/>
        <w:ind w:left="360" w:hanging="360"/>
        <w:jc w:val="both"/>
      </w:pPr>
      <w:r>
        <w:rPr>
          <w:rFonts w:ascii="Times New Roman" w:hAnsi="Times New Roman"/>
          <w:sz w:val="16"/>
        </w:rPr>
        <w:t>[19] E. B. Wilson, "Probable inference, the law of succession, and statistical inference," Journal of the American Statistical Association, vol. 22, no. 158, pp. 209–212, 1927.</w:t>
      </w:r>
    </w:p>
    <w:p>
      <w:pPr>
        <w:spacing w:line="252" w:lineRule="auto" w:before="0" w:after="40"/>
        <w:ind w:left="360" w:hanging="360"/>
        <w:jc w:val="both"/>
      </w:pPr>
      <w:r>
        <w:rPr>
          <w:rFonts w:ascii="Times New Roman" w:hAnsi="Times New Roman"/>
          <w:sz w:val="16"/>
        </w:rPr>
        <w:t>[20] C. Zauner, "Implementation and benchmarking of perceptual image hash functions," Master's thesis, Upper Austria Univ. of Applied Sciences, Hagenberg, 2010.</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