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76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2</w:t>
        <w:tab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Получить удовольствие от работы с видеопотоком.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Задача 2: Классификация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Современные видеоданные содержат богатую информацию как о визуальных объектах, так и о динамике их взаимодействия во времени. Задача видеоклассификации заключается в автоматическом определении категории или типа действия, изображённого в видеоролике.</w:t>
        <w:br w:type="textWrapping"/>
        <w:t xml:space="preserve"> Такие системы применяются в широком спектре задач — от анализа пользовательских видео (например, YouTube, TikTok) до систем видеонаблюдения, медиапоиска и робототехники.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Датасет HowTo100M содержит более 100 миллионов видеоклипов с естественными субтитрами и является одним из крупнейших ресурсов для мультимодального обучения (видео + текст). Он подходит для задач классификации действий, событий или тематических категорий.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План: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28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Предобработка данных: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Извлечение кадров из видео с фиксированной частотой.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Нормализация и изменение размера изображений.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(Опционально) извлечение субтитров и временных меток.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Извлечение признаков: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Визуальные признаки: CNN, 3D-CNN, Vision Transformer, CLIP.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Временные признаки: LSTM, Temporal CNN, TimeSformer.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(Опционально) текстовые признаки из субтитров: BERT, RoBERTa.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Обучение модели классификации: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Определение архитектуры.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Настройка гиперпараметров и функции потерь (например, Cross-Entropy Loss).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Обучение на тренировочном подмножестве и валидация.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Оценка качества: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Метрики: Accuracy, Precision, Recall, F1-score, Top-K accuracy.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Анализ ошибок (confusion matrix, примеры неверных классификаций).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tabs>
          <w:tab w:val="left" w:leader="none" w:pos="6311"/>
        </w:tabs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sdt>
      <w:sdtPr>
        <w:lock w:val="contentLocked"/>
        <w:id w:val="-61331870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1155"/>
            <w:gridCol w:w="3135"/>
            <w:gridCol w:w="3615"/>
            <w:gridCol w:w="1455"/>
            <w:tblGridChange w:id="0">
              <w:tblGrid>
                <w:gridCol w:w="1155"/>
                <w:gridCol w:w="3135"/>
                <w:gridCol w:w="3615"/>
                <w:gridCol w:w="1455"/>
              </w:tblGrid>
            </w:tblGridChange>
          </w:tblGrid>
          <w:tr>
            <w:trPr>
              <w:cantSplit w:val="0"/>
              <w:trHeight w:val="471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Вариант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Задание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Группа (3-4 человека)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Health </w:t>
                </w:r>
              </w:p>
              <w:p w:rsidR="00000000" w:rsidDel="00000000" w:rsidP="00000000" w:rsidRDefault="00000000" w:rsidRPr="00000000" w14:paraId="0000001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Категория внутри Health</w:t>
                </w:r>
              </w:p>
              <w:p w:rsidR="00000000" w:rsidDel="00000000" w:rsidP="00000000" w:rsidRDefault="00000000" w:rsidRPr="00000000" w14:paraId="0000001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Векторы: videomae</w:t>
                </w:r>
              </w:p>
              <w:p w:rsidR="00000000" w:rsidDel="00000000" w:rsidP="00000000" w:rsidRDefault="00000000" w:rsidRPr="00000000" w14:paraId="0000002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Модель: Обучаем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Финогеев Радмир Радионов Богдан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Hobbies </w:t>
                </w:r>
              </w:p>
              <w:p w:rsidR="00000000" w:rsidDel="00000000" w:rsidP="00000000" w:rsidRDefault="00000000" w:rsidRPr="00000000" w14:paraId="0000002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Категория внутри Hobbies</w:t>
                </w:r>
              </w:p>
              <w:p w:rsidR="00000000" w:rsidDel="00000000" w:rsidP="00000000" w:rsidRDefault="00000000" w:rsidRPr="00000000" w14:paraId="0000002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Векторы: VideoPrism</w:t>
                </w:r>
              </w:p>
              <w:p w:rsidR="00000000" w:rsidDel="00000000" w:rsidP="00000000" w:rsidRDefault="00000000" w:rsidRPr="00000000" w14:paraId="0000002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Модель: Обучаем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Баранков </w:t>
                </w:r>
              </w:p>
              <w:p w:rsidR="00000000" w:rsidDel="00000000" w:rsidP="00000000" w:rsidRDefault="00000000" w:rsidRPr="00000000" w14:paraId="0000002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Михайлиди</w:t>
                </w:r>
              </w:p>
              <w:p w:rsidR="00000000" w:rsidDel="00000000" w:rsidP="00000000" w:rsidRDefault="00000000" w:rsidRPr="00000000" w14:paraId="0000002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Бурулев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Arts </w:t>
                </w:r>
              </w:p>
              <w:p w:rsidR="00000000" w:rsidDel="00000000" w:rsidP="00000000" w:rsidRDefault="00000000" w:rsidRPr="00000000" w14:paraId="0000002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Категория внутри Arts</w:t>
                </w:r>
              </w:p>
              <w:p w:rsidR="00000000" w:rsidDel="00000000" w:rsidP="00000000" w:rsidRDefault="00000000" w:rsidRPr="00000000" w14:paraId="0000003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Векторы: Transformer from scratch, Берем предобученные эмбеддинги изображений</w:t>
                </w:r>
              </w:p>
              <w:p w:rsidR="00000000" w:rsidDel="00000000" w:rsidP="00000000" w:rsidRDefault="00000000" w:rsidRPr="00000000" w14:paraId="0000003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Модель: Обучаем с нуля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Прельский</w:t>
                </w:r>
              </w:p>
              <w:p w:rsidR="00000000" w:rsidDel="00000000" w:rsidP="00000000" w:rsidRDefault="00000000" w:rsidRPr="00000000" w14:paraId="0000003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Алексеев</w:t>
                </w:r>
              </w:p>
            </w:tc>
          </w:tr>
          <w:tr>
            <w:trPr>
              <w:cantSplit w:val="0"/>
              <w:trHeight w:val="2708.7890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Sports </w:t>
                </w:r>
              </w:p>
              <w:p w:rsidR="00000000" w:rsidDel="00000000" w:rsidP="00000000" w:rsidRDefault="00000000" w:rsidRPr="00000000" w14:paraId="0000003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Категория внутри Sports</w:t>
                </w:r>
              </w:p>
              <w:p w:rsidR="00000000" w:rsidDel="00000000" w:rsidP="00000000" w:rsidRDefault="00000000" w:rsidRPr="00000000" w14:paraId="0000003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Векторы: Транскрибация видео + Transformer, Берем предобученные эмбеддинги текста</w:t>
                </w:r>
              </w:p>
              <w:p w:rsidR="00000000" w:rsidDel="00000000" w:rsidP="00000000" w:rsidRDefault="00000000" w:rsidRPr="00000000" w14:paraId="0000003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Модель: Обучаем с нуля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Возиянов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Любая категория</w:t>
                </w:r>
              </w:p>
              <w:p w:rsidR="00000000" w:rsidDel="00000000" w:rsidP="00000000" w:rsidRDefault="00000000" w:rsidRPr="00000000" w14:paraId="0000003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Категории </w:t>
                </w:r>
              </w:p>
              <w:p w:rsidR="00000000" w:rsidDel="00000000" w:rsidP="00000000" w:rsidRDefault="00000000" w:rsidRPr="00000000" w14:paraId="0000003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Обучаем модель по кросс-модальностям Текст + Изображения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Любая категория</w:t>
                </w:r>
              </w:p>
              <w:p w:rsidR="00000000" w:rsidDel="00000000" w:rsidP="00000000" w:rsidRDefault="00000000" w:rsidRPr="00000000" w14:paraId="0000004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Категории </w:t>
                </w:r>
              </w:p>
              <w:p w:rsidR="00000000" w:rsidDel="00000000" w:rsidP="00000000" w:rsidRDefault="00000000" w:rsidRPr="00000000" w14:paraId="0000004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Обучаем модель по кросс-модальностям Текст + Видео эмбеддинги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Лекомцев Карабанова Любимова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Любая категория</w:t>
                </w:r>
              </w:p>
              <w:p w:rsidR="00000000" w:rsidDel="00000000" w:rsidP="00000000" w:rsidRDefault="00000000" w:rsidRPr="00000000" w14:paraId="0000004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Категории </w:t>
                </w:r>
              </w:p>
              <w:p w:rsidR="00000000" w:rsidDel="00000000" w:rsidP="00000000" w:rsidRDefault="00000000" w:rsidRPr="00000000" w14:paraId="0000004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Обучаем модель по кросс-модальностям Видео + Аудио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Любая категория</w:t>
                </w:r>
              </w:p>
              <w:p w:rsidR="00000000" w:rsidDel="00000000" w:rsidP="00000000" w:rsidRDefault="00000000" w:rsidRPr="00000000" w14:paraId="0000005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Классификация: Категории </w:t>
                </w:r>
              </w:p>
              <w:p w:rsidR="00000000" w:rsidDel="00000000" w:rsidP="00000000" w:rsidRDefault="00000000" w:rsidRPr="00000000" w14:paraId="0000005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Обучаем модель по кросс-модальностям Текст + Изображения + Аудио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| Sports, тестирование на Kinetics-700 (спортивные классы) и/или UCF-101 Задача: Измерить, насколько представления, выученные на instructional-видео, переносятся на  видео другого домена. Подход: Обучить классификатор на подкатегориях HowTo100M Sports. Затем без дообучения (zero-shot transfer через эмбеддинги) и с минимальным дообучением (linear probe, 5-shot) оценить качество на внешних датасетах.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05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Любая категория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br w:type="textWrapping"/>
                  <w:t xml:space="preserve">Streaming Video Classification (Online Learning)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Задача: Классификация в потоковом режиме — модель получает видео покадрово и должна давать предсказание «на лету», обновляя свою уверенность с каждым новым фреймом. Подход: Реализовать causal (auto-regressive) архитектуру — модель не имеет доступа к будущим фреймам.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</w:pBd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5F">
                <w:pPr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Датасет: HowTo100M | Pets Задача: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rtl w:val="0"/>
                  </w:rPr>
                  <w:t xml:space="preserve">Interpretability и Error Analysis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Классификация подкатегорий + глубокий анализ поведения модели. Подход: Обучить классификатор (любой). Основная работа — interpretability pipeline: (1) Grad-CAM / Attention Rollout — на какие пространственные регионы и какие фреймы модель смотрит, (2) систематический error analysis — таксономия ошибок (confusion между близкими категориями, ошибки из-за фона, ошибки из-за длины видео и т.д.), (3) counterfactual probing — что меняется в предсказании, если убрать аудио / заменить фон / обрезать видео до первых 3 секунд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Отчёт должен содержать следующие пункты: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Теоретическая база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Описание разработанной системы (алгоритмы, принципы работы,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архитектура)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Результаты работы и тестирования системы (скриншоты, изображения,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графики, закономерности)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Выводы по работе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Использованные источники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659">
    <w:name w:val="Heading 1 Char"/>
    <w:link w:val="658"/>
    <w:uiPriority w:val="9"/>
    <w:rPr>
      <w:rFonts w:ascii="Arial" w:cs="Arial" w:eastAsia="Arial" w:hAnsi="Arial"/>
      <w:sz w:val="40"/>
      <w:szCs w:val="40"/>
    </w:rPr>
  </w:style>
  <w:style w:type="character" w:styleId="661">
    <w:name w:val="Heading 2 Char"/>
    <w:link w:val="660"/>
    <w:uiPriority w:val="9"/>
    <w:rPr>
      <w:rFonts w:ascii="Arial" w:cs="Arial" w:eastAsia="Arial" w:hAnsi="Arial"/>
      <w:sz w:val="34"/>
    </w:rPr>
  </w:style>
  <w:style w:type="character" w:styleId="663">
    <w:name w:val="Heading 3 Char"/>
    <w:link w:val="662"/>
    <w:uiPriority w:val="9"/>
    <w:rPr>
      <w:rFonts w:ascii="Arial" w:cs="Arial" w:eastAsia="Arial" w:hAnsi="Arial"/>
      <w:sz w:val="30"/>
      <w:szCs w:val="30"/>
    </w:rPr>
  </w:style>
  <w:style w:type="character" w:styleId="665">
    <w:name w:val="Heading 4 Char"/>
    <w:link w:val="664"/>
    <w:uiPriority w:val="9"/>
    <w:rPr>
      <w:rFonts w:ascii="Arial" w:cs="Arial" w:eastAsia="Arial" w:hAnsi="Arial"/>
      <w:b w:val="1"/>
      <w:bCs w:val="1"/>
      <w:sz w:val="26"/>
      <w:szCs w:val="26"/>
    </w:rPr>
  </w:style>
  <w:style w:type="character" w:styleId="667">
    <w:name w:val="Heading 5 Char"/>
    <w:link w:val="666"/>
    <w:uiPriority w:val="9"/>
    <w:rPr>
      <w:rFonts w:ascii="Arial" w:cs="Arial" w:eastAsia="Arial" w:hAnsi="Arial"/>
      <w:b w:val="1"/>
      <w:bCs w:val="1"/>
      <w:sz w:val="24"/>
      <w:szCs w:val="24"/>
    </w:rPr>
  </w:style>
  <w:style w:type="character" w:styleId="669">
    <w:name w:val="Heading 6 Char"/>
    <w:link w:val="668"/>
    <w:uiPriority w:val="9"/>
    <w:rPr>
      <w:rFonts w:ascii="Arial" w:cs="Arial" w:eastAsia="Arial" w:hAnsi="Arial"/>
      <w:b w:val="1"/>
      <w:bCs w:val="1"/>
      <w:sz w:val="22"/>
      <w:szCs w:val="22"/>
    </w:rPr>
  </w:style>
  <w:style w:type="paragraph" w:styleId="670">
    <w:name w:val="Heading 7"/>
    <w:basedOn w:val="834"/>
    <w:next w:val="834"/>
    <w:link w:val="671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671">
    <w:name w:val="Heading 7 Char"/>
    <w:link w:val="670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672">
    <w:name w:val="Heading 8"/>
    <w:basedOn w:val="834"/>
    <w:next w:val="834"/>
    <w:link w:val="673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673">
    <w:name w:val="Heading 8 Char"/>
    <w:link w:val="672"/>
    <w:uiPriority w:val="9"/>
    <w:rPr>
      <w:rFonts w:ascii="Arial" w:cs="Arial" w:eastAsia="Arial" w:hAnsi="Arial"/>
      <w:i w:val="1"/>
      <w:iCs w:val="1"/>
      <w:sz w:val="22"/>
      <w:szCs w:val="22"/>
    </w:rPr>
  </w:style>
  <w:style w:type="paragraph" w:styleId="674">
    <w:name w:val="Heading 9"/>
    <w:basedOn w:val="834"/>
    <w:next w:val="834"/>
    <w:link w:val="675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675">
    <w:name w:val="Heading 9 Char"/>
    <w:link w:val="674"/>
    <w:uiPriority w:val="9"/>
    <w:rPr>
      <w:rFonts w:ascii="Arial" w:cs="Arial" w:eastAsia="Arial" w:hAnsi="Arial"/>
      <w:i w:val="1"/>
      <w:iCs w:val="1"/>
      <w:sz w:val="21"/>
      <w:szCs w:val="21"/>
    </w:rPr>
  </w:style>
  <w:style w:type="character" w:styleId="677">
    <w:name w:val="Title Char"/>
    <w:link w:val="676"/>
    <w:uiPriority w:val="10"/>
    <w:rPr>
      <w:sz w:val="48"/>
      <w:szCs w:val="48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 w:val="1"/>
    <w:pPr>
      <w:ind w:start="720" w:end="720"/>
    </w:pPr>
    <w:rPr>
      <w:i w:val="1"/>
    </w:rPr>
  </w:style>
  <w:style w:type="character" w:styleId="681">
    <w:name w:val="Quote Char"/>
    <w:link w:val="680"/>
    <w:uiPriority w:val="29"/>
    <w:rPr>
      <w:i w:val="1"/>
    </w:rPr>
  </w:style>
  <w:style w:type="paragraph" w:styleId="682">
    <w:name w:val="Intense Quote"/>
    <w:basedOn w:val="834"/>
    <w:next w:val="834"/>
    <w:link w:val="683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start="720" w:end="720"/>
      <w:contextualSpacing w:val="0"/>
    </w:pPr>
    <w:rPr>
      <w:i w:val="1"/>
    </w:rPr>
  </w:style>
  <w:style w:type="character" w:styleId="683">
    <w:name w:val="Intense Quote Char"/>
    <w:link w:val="682"/>
    <w:uiPriority w:val="30"/>
    <w:rPr>
      <w:i w:val="1"/>
    </w:rPr>
  </w:style>
  <w:style w:type="paragraph" w:styleId="684">
    <w:name w:val="Header"/>
    <w:basedOn w:val="834"/>
    <w:link w:val="685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 w:val="1"/>
    <w:pPr>
      <w:tabs>
        <w:tab w:val="center" w:leader="none" w:pos="7143"/>
        <w:tab w:val="right" w:leader="none" w:pos="14287"/>
      </w:tabs>
      <w:spacing w:after="0" w:line="240" w:lineRule="auto"/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pPr>
        <w:jc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7a4d8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debf6" w:themeColor="accent1" w:themeFill="accent1" w:themeFillTint="000034" w:themeTint="000034" w:val="clear"/>
    </w:tblPr>
    <w:tblStylePr w:type="band1Horz">
      <w:tcPr>
        <w:shd w:color="ffffff" w:fill="b4d2eb" w:themeColor="accent1" w:themeFill="accent1" w:themeFillTint="000075" w:themeTint="000075" w:val="clear"/>
      </w:tcPr>
    </w:tblStylePr>
    <w:tblStylePr w:type="band1Vert">
      <w:tcPr>
        <w:shd w:color="ffffff" w:fill="b4d2eb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5d6" w:themeColor="accent2" w:themeFill="accent2" w:themeFillTint="000032" w:themeTint="000032" w:val="clear"/>
    </w:tblPr>
    <w:tblStylePr w:type="band1Horz">
      <w:tcPr>
        <w:shd w:color="ffffff" w:fill="f6c3a1" w:themeColor="accent2" w:themeFill="accent2" w:themeFillTint="000075" w:themeTint="000075" w:val="clear"/>
      </w:tcPr>
    </w:tblStylePr>
    <w:tblStylePr w:type="band1Vert">
      <w:tcPr>
        <w:shd w:color="ffffff" w:fill="f6c3a1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blStylePr w:type="band1Horz">
      <w:tcPr>
        <w:shd w:color="ffffff" w:fill="d6d6d6" w:themeColor="accent3" w:themeFill="accent3" w:themeFillTint="000075" w:themeTint="000075" w:val="clear"/>
      </w:tcPr>
    </w:tblStylePr>
    <w:tblStylePr w:type="band1Vert">
      <w:tcPr>
        <w:shd w:color="ffffff" w:fill="d6d6d6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ef2cb" w:themeColor="accent4" w:themeFill="accent4" w:themeFillTint="000034" w:themeTint="000034" w:val="clear"/>
    </w:tblPr>
    <w:tblStylePr w:type="band1Horz">
      <w:tcPr>
        <w:shd w:color="ffffff" w:fill="fee189" w:themeColor="accent4" w:themeFill="accent4" w:themeFillTint="000075" w:themeTint="000075" w:val="clear"/>
      </w:tcPr>
    </w:tblStylePr>
    <w:tblStylePr w:type="band1Vert">
      <w:tcPr>
        <w:shd w:color="ffffff" w:fill="fee189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2" w:themeColor="accent5" w:themeFill="accent5" w:themeFillTint="000034" w:themeTint="000034" w:val="clear"/>
    </w:tblPr>
    <w:tblStylePr w:type="band1Horz">
      <w:tcPr>
        <w:shd w:color="ffffff" w:fill="aabfe3" w:themeColor="accent5" w:themeFill="accent5" w:themeFillTint="000075" w:themeTint="000075" w:val="clear"/>
      </w:tcPr>
    </w:tblStylePr>
    <w:tblStylePr w:type="band1Vert">
      <w:tcPr>
        <w:shd w:color="ffffff" w:fill="aabfe3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8" w:themeColor="accent6" w:themeFill="accent6" w:themeFillTint="000034" w:themeTint="000034" w:val="clear"/>
    </w:tblPr>
    <w:tblStylePr w:type="band1Horz">
      <w:tcPr>
        <w:shd w:color="ffffff" w:fill="bedba8" w:themeColor="accent6" w:themeFill="accent6" w:themeFillTint="000075" w:themeTint="000075" w:val="clear"/>
      </w:tcPr>
    </w:tblStylePr>
    <w:tblStylePr w:type="band1Vert">
      <w:tcPr>
        <w:shd w:color="ffffff" w:fill="bedb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17bba" w:themeColor="accent1" w:themeShade="000095" w:themeTint="000080"/>
      </w:rPr>
    </w:tblStylePr>
    <w:tblStylePr w:type="firstRow">
      <w:rPr>
        <w:b w:val="1"/>
        <w:color w:val="317bba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17bba" w:themeColor="accent1" w:themeShade="000095" w:themeTint="000080"/>
      </w:rPr>
    </w:tblStylePr>
    <w:tblStylePr w:type="lastRow">
      <w:rPr>
        <w:b w:val="1"/>
        <w:color w:val="317bba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17bba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317bba" w:themeColor="accent1" w:themeShade="000095" w:themeTint="000080"/>
        <w:sz w:val="22"/>
      </w:rPr>
    </w:tblStylePr>
    <w:tblStylePr w:type="firstCol">
      <w:pPr>
        <w:jc/>
      </w:pPr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 w:val="clear"/>
      </w:tcPr>
    </w:tblStylePr>
    <w:tblStylePr w:type="fir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 w:val="clear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54374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254374" w:themeColor="accent5" w:themeShade="000095"/>
        <w:sz w:val="22"/>
      </w:rPr>
    </w:tblStylePr>
    <w:tblStylePr w:type="firstCol">
      <w:pPr>
        <w:jc/>
      </w:pPr>
      <w:rPr>
        <w:rFonts w:ascii="Arial" w:hAnsi="Arial"/>
        <w:i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 w:val="clear"/>
      </w:tcPr>
    </w:tblStylePr>
    <w:tblStylePr w:type="fir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54374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 w:val="clear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9c9c9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eabdb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ad08f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185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864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bdb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ad08f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45d8d" w:themeColor="accent1" w:themeShade="000095"/>
      </w:rPr>
    </w:tblStylePr>
    <w:tblStylePr w:type="firstRow">
      <w:rPr>
        <w:b w:val="1"/>
        <w:color w:val="245d8d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45d8d" w:themeColor="accent1" w:themeShade="000095"/>
      </w:rPr>
    </w:tblStylePr>
    <w:tblStylePr w:type="lastRow">
      <w:rPr>
        <w:b w:val="1"/>
        <w:color w:val="245d8d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5e9e" w:themeColor="accent5" w:themeShade="000095" w:themeTint="00009A"/>
      </w:rPr>
    </w:tblStylePr>
    <w:tblStylePr w:type="firstRow">
      <w:rPr>
        <w:b w:val="1"/>
        <w:color w:val="335e9e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5e9e" w:themeColor="accent5" w:themeShade="000095" w:themeTint="00009A"/>
      </w:rPr>
    </w:tblStylePr>
    <w:tblStylePr w:type="lastRow">
      <w:rPr>
        <w:b w:val="1"/>
        <w:color w:val="335e9e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 w:val="clear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45d8d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245d8d" w:themeColor="accent1" w:themeShade="000095"/>
        <w:sz w:val="22"/>
      </w:rPr>
    </w:tblStylePr>
    <w:tblStylePr w:type="firstCol">
      <w:pPr>
        <w:jc/>
      </w:pPr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 w:val="clear"/>
      </w:tcPr>
    </w:tblStylePr>
    <w:tblStylePr w:type="fir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45d8d" w:themeColor="accent1" w:themeShade="0000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 w:val="clear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 w:val="clear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 w:val="clear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5e9e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335e9e" w:themeColor="accent5" w:themeShade="000095" w:themeTint="00009A"/>
        <w:sz w:val="22"/>
      </w:rPr>
    </w:tblStylePr>
    <w:tblStylePr w:type="firstCol">
      <w:pPr>
        <w:jc/>
      </w:pPr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 w:val="clear"/>
      </w:tcPr>
    </w:tblStylePr>
    <w:tblStylePr w:type="fir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5e9e" w:themeColor="accent5" w:themeShade="000095" w:themeTint="00009A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 w:val="clear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16">
    <w:name w:val="Hyperlink"/>
    <w:uiPriority w:val="99"/>
    <w:unhideWhenUsed w:val="1"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 w:val="1"/>
    <w:rPr>
      <w:vertAlign w:val="superscript"/>
    </w:rPr>
  </w:style>
  <w:style w:type="paragraph" w:styleId="820">
    <w:name w:val="endnote text"/>
    <w:basedOn w:val="834"/>
    <w:link w:val="821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 w:val="1"/>
    <w:unhideWhenUsed w:val="1"/>
    <w:rPr>
      <w:vertAlign w:val="superscript"/>
    </w:rPr>
  </w:style>
  <w:style w:type="paragraph" w:styleId="823">
    <w:name w:val="toc 1"/>
    <w:basedOn w:val="834"/>
    <w:next w:val="834"/>
    <w:uiPriority w:val="39"/>
    <w:unhideWhenUsed w:val="1"/>
    <w:pPr>
      <w:spacing w:after="57"/>
      <w:ind w:start="0" w:end="0" w:firstLine="0"/>
    </w:pPr>
  </w:style>
  <w:style w:type="paragraph" w:styleId="824">
    <w:name w:val="toc 2"/>
    <w:basedOn w:val="834"/>
    <w:next w:val="834"/>
    <w:uiPriority w:val="39"/>
    <w:unhideWhenUsed w:val="1"/>
    <w:pPr>
      <w:spacing w:after="57"/>
      <w:ind w:start="283" w:end="0" w:firstLine="0"/>
    </w:pPr>
  </w:style>
  <w:style w:type="paragraph" w:styleId="825">
    <w:name w:val="toc 3"/>
    <w:basedOn w:val="834"/>
    <w:next w:val="834"/>
    <w:uiPriority w:val="39"/>
    <w:unhideWhenUsed w:val="1"/>
    <w:pPr>
      <w:spacing w:after="57"/>
      <w:ind w:start="567" w:end="0" w:firstLine="0"/>
    </w:pPr>
  </w:style>
  <w:style w:type="paragraph" w:styleId="826">
    <w:name w:val="toc 4"/>
    <w:basedOn w:val="834"/>
    <w:next w:val="834"/>
    <w:uiPriority w:val="39"/>
    <w:unhideWhenUsed w:val="1"/>
    <w:pPr>
      <w:spacing w:after="57"/>
      <w:ind w:start="850" w:end="0" w:firstLine="0"/>
    </w:pPr>
  </w:style>
  <w:style w:type="paragraph" w:styleId="827">
    <w:name w:val="toc 5"/>
    <w:basedOn w:val="834"/>
    <w:next w:val="834"/>
    <w:uiPriority w:val="39"/>
    <w:unhideWhenUsed w:val="1"/>
    <w:pPr>
      <w:spacing w:after="57"/>
      <w:ind w:start="1134" w:end="0" w:firstLine="0"/>
    </w:pPr>
  </w:style>
  <w:style w:type="paragraph" w:styleId="828">
    <w:name w:val="toc 6"/>
    <w:basedOn w:val="834"/>
    <w:next w:val="834"/>
    <w:uiPriority w:val="39"/>
    <w:unhideWhenUsed w:val="1"/>
    <w:pPr>
      <w:spacing w:after="57"/>
      <w:ind w:start="1417" w:end="0" w:firstLine="0"/>
    </w:pPr>
  </w:style>
  <w:style w:type="paragraph" w:styleId="829">
    <w:name w:val="toc 7"/>
    <w:basedOn w:val="834"/>
    <w:next w:val="834"/>
    <w:uiPriority w:val="39"/>
    <w:unhideWhenUsed w:val="1"/>
    <w:pPr>
      <w:spacing w:after="57"/>
      <w:ind w:start="1701" w:end="0" w:firstLine="0"/>
    </w:pPr>
  </w:style>
  <w:style w:type="paragraph" w:styleId="830">
    <w:name w:val="toc 8"/>
    <w:basedOn w:val="834"/>
    <w:next w:val="834"/>
    <w:uiPriority w:val="39"/>
    <w:unhideWhenUsed w:val="1"/>
    <w:pPr>
      <w:spacing w:after="57"/>
      <w:ind w:start="1984" w:end="0" w:firstLine="0"/>
    </w:pPr>
  </w:style>
  <w:style w:type="paragraph" w:styleId="831">
    <w:name w:val="toc 9"/>
    <w:basedOn w:val="834"/>
    <w:next w:val="834"/>
    <w:uiPriority w:val="39"/>
    <w:unhideWhenUsed w:val="1"/>
    <w:pPr>
      <w:spacing w:after="57"/>
      <w:ind w:start="2268" w:end="0" w:firstLine="0"/>
    </w:pPr>
  </w:style>
  <w:style w:type="paragraph" w:styleId="832">
    <w:name w:val="TOC Heading"/>
    <w:uiPriority w:val="39"/>
    <w:unhideWhenUsed w:val="1"/>
  </w:style>
  <w:style w:type="paragraph" w:styleId="833">
    <w:name w:val="table of figures"/>
    <w:basedOn w:val="834"/>
    <w:next w:val="834"/>
    <w:uiPriority w:val="99"/>
    <w:unhideWhenUsed w:val="1"/>
    <w:pPr>
      <w:spacing w:after="0" w:afterAutospacing="0"/>
    </w:pPr>
  </w:style>
  <w:style w:type="table" w:styleId="835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836" w:default="1">
    <w:name w:val="No List"/>
    <w:uiPriority w:val="99"/>
    <w:semiHidden w:val="1"/>
    <w:unhideWhenUsed w:val="1"/>
  </w:style>
  <w:style w:type="paragraph" w:styleId="837">
    <w:name w:val="No Spacing"/>
    <w:basedOn w:val="834"/>
    <w:uiPriority w:val="1"/>
    <w:qFormat w:val="1"/>
    <w:pPr>
      <w:spacing w:after="0" w:line="240" w:lineRule="auto"/>
    </w:pPr>
  </w:style>
  <w:style w:type="paragraph" w:styleId="838">
    <w:name w:val="List Paragraph"/>
    <w:basedOn w:val="834"/>
    <w:uiPriority w:val="34"/>
    <w:qFormat w:val="1"/>
    <w:pPr>
      <w:ind w:start="720"/>
      <w:contextualSpacing w:val="1"/>
    </w:pPr>
  </w:style>
  <w:style w:type="character" w:styleId="839" w:default="1">
    <w:name w:val="Default Paragraph Font"/>
    <w:uiPriority w:val="1"/>
    <w:semiHidden w:val="1"/>
    <w:unhideWhenUsed w:val="1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3bgEV/jqH3clwzaQ9VEemxELZg==">CgMxLjAaHwoBMBIaChgICVIUChJ0YWJsZS5tamgyZjllcTdpdGc4AHIhMVNkWkJvTzJtRS13SHJrRzlXUXRWdHhLZVNWZFlvQnhf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