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r>
        <w:t xml:space="preserve"/>
      </w:r>
    </w:p>
    <w:p>
      <w:pPr>
        <w:spacing w:after="60" w:before="0"/>
        <w:jc w:val="center"/>
      </w:pPr>
      <w:r>
        <w:rPr>
          <w:rFonts w:ascii="Calibri" w:cs="Calibri" w:eastAsia="Calibri" w:hAnsi="Calibri"/>
          <w:b/>
          <w:bCs/>
          <w:color w:val="9B1FBF"/>
          <w:sz w:val="72"/>
          <w:szCs w:val="72"/>
        </w:rPr>
        <w:t xml:space="preserve">BOOST!</w:t>
      </w:r>
    </w:p>
    <w:p>
      <w:pPr>
        <w:spacing w:after="240" w:before="0"/>
        <w:jc w:val="center"/>
      </w:pPr>
      <w:r>
        <w:rPr>
          <w:rFonts w:ascii="Calibri" w:cs="Calibri" w:eastAsia="Calibri" w:hAnsi="Calibri"/>
          <w:b/>
          <w:bCs/>
          <w:color w:val="0F1F5C"/>
          <w:sz w:val="56"/>
          <w:szCs w:val="56"/>
        </w:rPr>
        <w:t xml:space="preserve">Pulse</w:t>
      </w:r>
    </w:p>
    <w:p>
      <w:pPr>
        <w:spacing w:after="120" w:before="0"/>
        <w:jc w:val="center"/>
      </w:pPr>
      <w:r>
        <w:rPr>
          <w:rFonts w:ascii="Calibri" w:cs="Calibri" w:eastAsia="Calibri" w:hAnsi="Calibri"/>
          <w:b/>
          <w:bCs/>
          <w:color w:val="0F1F5C"/>
          <w:sz w:val="40"/>
          <w:szCs w:val="40"/>
        </w:rPr>
        <w:t xml:space="preserve">Research-Based Survey Foundation</w:t>
      </w:r>
    </w:p>
    <w:p>
      <w:pPr>
        <w:spacing w:after="240" w:before="0"/>
        <w:jc w:val="center"/>
      </w:pPr>
      <w:r>
        <w:rPr>
          <w:rFonts w:ascii="Calibri" w:cs="Calibri" w:eastAsia="Calibri" w:hAnsi="Calibri"/>
          <w:b w:val="false"/>
          <w:bCs w:val="false"/>
          <w:color w:val="9B1FBF"/>
          <w:sz w:val="32"/>
          <w:szCs w:val="32"/>
        </w:rPr>
        <w:t xml:space="preserve">v1.0</w:t>
      </w:r>
    </w:p>
    <w:p>
      <w:pPr>
        <w:pBdr>
          <w:bottom w:val="single" w:color="9B1FBF" w:sz="2"/>
        </w:pBdr>
        <w:spacing w:after="80" w:before="80"/>
      </w:pPr>
      <w:r>
        <w:t xml:space="preserve"/>
      </w:r>
    </w:p>
    <w:p>
      <w:pPr>
        <w:spacing w:after="60" w:before="120"/>
        <w:jc w:val="center"/>
      </w:pPr>
      <w:r>
        <w:rPr>
          <w:rFonts w:ascii="Calibri" w:cs="Calibri" w:eastAsia="Calibri" w:hAnsi="Calibri"/>
          <w:color w:val="444444"/>
          <w:sz w:val="28"/>
          <w:szCs w:val="28"/>
        </w:rPr>
        <w:t xml:space="preserve">June 28, 2026</w:t>
      </w:r>
    </w:p>
    <w:p>
      <w:pPr>
        <w:spacing w:after="240" w:before="0"/>
        <w:jc w:val="center"/>
      </w:pPr>
      <w:r>
        <w:rPr>
          <w:rFonts w:ascii="Calibri" w:cs="Calibri" w:eastAsia="Calibri" w:hAnsi="Calibri"/>
          <w:i/>
          <w:iCs/>
          <w:color w:val="666666"/>
          <w:sz w:val="22"/>
          <w:szCs w:val="22"/>
        </w:rPr>
        <w:t xml:space="preserve">Confidential — Internal Product Research</w:t>
      </w:r>
    </w:p>
    <w:p>
      <w:pPr>
        <w:spacing w:after="60" w:before="0"/>
        <w:jc w:val="center"/>
      </w:pPr>
      <w:r>
        <w:rPr>
          <w:rFonts w:ascii="Calibri" w:cs="Calibri" w:eastAsia="Calibri" w:hAnsi="Calibri"/>
          <w:color w:val="1A1A2E"/>
          <w:sz w:val="24"/>
          <w:szCs w:val="24"/>
        </w:rPr>
        <w:t xml:space="preserve">Prepared for the BOOST! Platform Team</w:t>
      </w:r>
    </w:p>
    <w:p>
      <w:pPr>
        <w:spacing w:after="720" w:before="720"/>
      </w:pPr>
      <w:r>
        <w:t xml:space="preserve"/>
      </w:r>
    </w:p>
    <w:p>
      <w:r>
        <w:br w:type="page"/>
      </w:r>
    </w:p>
    <w:p>
      <w:pPr>
        <w:pStyle w:val="Heading1"/>
        <w:spacing w:after="200" w:before="0"/>
      </w:pPr>
      <w:r>
        <w:rPr>
          <w:rFonts w:ascii="Calibri" w:cs="Calibri" w:eastAsia="Calibri" w:hAnsi="Calibri"/>
          <w:b/>
          <w:bCs/>
          <w:color w:val="0F1F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Calibri" w:cs="Calibri" w:eastAsia="Calibri" w:hAnsi="Calibri"/>
          <w:b/>
          <w:bCs/>
          <w:color w:val="0F1F5C"/>
          <w:sz w:val="36"/>
          <w:szCs w:val="36"/>
        </w:rPr>
        <w:t xml:space="preserve">Section 1: Executive Summary</w:t>
      </w:r>
    </w:p>
    <w:p>
      <w:pPr>
        <w:pStyle w:val="Heading2"/>
        <w:spacing w:after="140" w:before="280"/>
      </w:pPr>
      <w:r>
        <w:rPr>
          <w:rFonts w:ascii="Calibri" w:cs="Calibri" w:eastAsia="Calibri" w:hAnsi="Calibri"/>
          <w:b/>
          <w:bCs/>
          <w:color w:val="0F1F5C"/>
          <w:sz w:val="28"/>
          <w:szCs w:val="28"/>
        </w:rPr>
        <w:t xml:space="preserve">Why Research-Backed Surveys Matter for Small Employers</w:t>
      </w:r>
    </w:p>
    <w:p>
      <w:pPr>
        <w:spacing w:after="80" w:before="60"/>
        <w:jc w:val="both"/>
      </w:pPr>
      <w:r>
        <w:rPr>
          <w:rFonts w:ascii="Calibri" w:cs="Calibri" w:eastAsia="Calibri" w:hAnsi="Calibri"/>
          <w:b w:val="false"/>
          <w:bCs w:val="false"/>
          <w:i w:val="false"/>
          <w:iCs w:val="false"/>
          <w:color w:val="1A1A2E"/>
          <w:sz w:val="22"/>
          <w:szCs w:val="22"/>
        </w:rPr>
        <w:t xml:space="preserve">Employee engagement surveys are only as valuable as the questions they ask. For small employers—those with 100 or fewer employees—poorly designed surveys produce noise instead of signal: low response rates, ambiguous data, and employee distrust. When a 40-person nonprofit asks a question that has no validated research foundation, the results may reflect how the question was phrased rather than how employees actually feel.</w:t>
      </w:r>
    </w:p>
    <w:p>
      <w:pPr>
        <w:spacing w:after="80" w:before="60"/>
        <w:jc w:val="both"/>
      </w:pPr>
      <w:r>
        <w:rPr>
          <w:rFonts w:ascii="Calibri" w:cs="Calibri" w:eastAsia="Calibri" w:hAnsi="Calibri"/>
          <w:b w:val="false"/>
          <w:bCs w:val="false"/>
          <w:i w:val="false"/>
          <w:iCs w:val="false"/>
          <w:color w:val="1A1A2E"/>
          <w:sz w:val="22"/>
          <w:szCs w:val="22"/>
        </w:rPr>
        <w:t xml:space="preserve">BOOST! Pulse is built on a different premise: every question in the platform's bank is anchored to at least one peer-reviewed or rigorously validated framework, and every dimension is traceable to a published source. This document is the research foundation for that bank.</w:t>
      </w:r>
    </w:p>
    <w:p>
      <w:pPr>
        <w:pStyle w:val="Heading2"/>
        <w:spacing w:after="140" w:before="280"/>
      </w:pPr>
      <w:r>
        <w:rPr>
          <w:rFonts w:ascii="Calibri" w:cs="Calibri" w:eastAsia="Calibri" w:hAnsi="Calibri"/>
          <w:b/>
          <w:bCs/>
          <w:color w:val="0F1F5C"/>
          <w:sz w:val="28"/>
          <w:szCs w:val="28"/>
        </w:rPr>
        <w:t xml:space="preserve">The Problem with Ad-Hoc Survey Questions</w:t>
      </w:r>
    </w:p>
    <w:p>
      <w:pPr>
        <w:spacing w:after="80" w:before="60"/>
        <w:jc w:val="both"/>
      </w:pPr>
      <w:r>
        <w:rPr>
          <w:rFonts w:ascii="Calibri" w:cs="Calibri" w:eastAsia="Calibri" w:hAnsi="Calibri"/>
          <w:b w:val="false"/>
          <w:bCs w:val="false"/>
          <w:i w:val="false"/>
          <w:iCs w:val="false"/>
          <w:color w:val="1A1A2E"/>
          <w:sz w:val="22"/>
          <w:szCs w:val="22"/>
        </w:rPr>
        <w:t xml:space="preserve">Most survey tools allow administrators to type in any question they like. This flexibility is also a liability. Without a validated construct, scores cannot be benchmarked, trends across time are unreliable, and remediation guidance is impossible to provide. Common failure modes include:</w:t>
      </w:r>
    </w:p>
    <w:p>
      <w:pPr>
        <w:pStyle w:val="ListParagraph"/>
        <w:numPr>
          <w:ilvl w:val="0"/>
          <w:numId w:val="2"/>
        </w:numPr>
        <w:spacing w:after="40" w:before="40"/>
      </w:pPr>
      <w:r>
        <w:rPr>
          <w:rFonts w:ascii="Calibri" w:cs="Calibri" w:eastAsia="Calibri" w:hAnsi="Calibri"/>
          <w:color w:val="1A1A2E"/>
          <w:sz w:val="22"/>
          <w:szCs w:val="22"/>
        </w:rPr>
        <w:t xml:space="preserve">Leading questions that signal the "correct" answer ("Don't you agree that leadership is effective?")</w:t>
      </w:r>
    </w:p>
    <w:p>
      <w:pPr>
        <w:pStyle w:val="ListParagraph"/>
        <w:numPr>
          <w:ilvl w:val="0"/>
          <w:numId w:val="2"/>
        </w:numPr>
        <w:spacing w:after="40" w:before="40"/>
      </w:pPr>
      <w:r>
        <w:rPr>
          <w:rFonts w:ascii="Calibri" w:cs="Calibri" w:eastAsia="Calibri" w:hAnsi="Calibri"/>
          <w:color w:val="1A1A2E"/>
          <w:sz w:val="22"/>
          <w:szCs w:val="22"/>
        </w:rPr>
        <w:t xml:space="preserve">Double-barreled questions that measure two things simultaneously ("I trust my manager and feel my work is meaningful")</w:t>
      </w:r>
    </w:p>
    <w:p>
      <w:pPr>
        <w:pStyle w:val="ListParagraph"/>
        <w:numPr>
          <w:ilvl w:val="0"/>
          <w:numId w:val="2"/>
        </w:numPr>
        <w:spacing w:after="40" w:before="40"/>
      </w:pPr>
      <w:r>
        <w:rPr>
          <w:rFonts w:ascii="Calibri" w:cs="Calibri" w:eastAsia="Calibri" w:hAnsi="Calibri"/>
          <w:color w:val="1A1A2E"/>
          <w:sz w:val="22"/>
          <w:szCs w:val="22"/>
        </w:rPr>
        <w:t xml:space="preserve">Questions that lack a clear construct, making it impossible to know what a low score means in practice</w:t>
      </w:r>
    </w:p>
    <w:p>
      <w:pPr>
        <w:pStyle w:val="ListParagraph"/>
        <w:numPr>
          <w:ilvl w:val="0"/>
          <w:numId w:val="2"/>
        </w:numPr>
        <w:spacing w:after="40" w:before="40"/>
      </w:pPr>
      <w:r>
        <w:rPr>
          <w:rFonts w:ascii="Calibri" w:cs="Calibri" w:eastAsia="Calibri" w:hAnsi="Calibri"/>
          <w:color w:val="1A1A2E"/>
          <w:sz w:val="22"/>
          <w:szCs w:val="22"/>
        </w:rPr>
        <w:t xml:space="preserve">Questions calibrated for large enterprises that are meaningless in a 20-person shop (e.g., questions about "corporate communications strategy" or "cross-functional alignment")</w:t>
      </w:r>
    </w:p>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BOOST! Pulse: Framework-First Survey Design</w:t>
      </w:r>
    </w:p>
    <w:p>
      <w:pPr>
        <w:spacing w:after="80" w:before="60"/>
        <w:jc w:val="both"/>
      </w:pPr>
      <w:r>
        <w:rPr>
          <w:rFonts w:ascii="Calibri" w:cs="Calibri" w:eastAsia="Calibri" w:hAnsi="Calibri"/>
          <w:b w:val="false"/>
          <w:bCs w:val="false"/>
          <w:i w:val="false"/>
          <w:iCs w:val="false"/>
          <w:color w:val="1A1A2E"/>
          <w:sz w:val="22"/>
          <w:szCs w:val="22"/>
        </w:rPr>
        <w:t xml:space="preserve">BOOST! Pulse addresses these problems by seeding its question bank with items derived from five globally recognized frameworks:</w:t>
      </w:r>
    </w:p>
    <w:p>
      <w:pPr>
        <w:pStyle w:val="ListParagraph"/>
        <w:numPr>
          <w:ilvl w:val="0"/>
          <w:numId w:val="2"/>
        </w:numPr>
        <w:spacing w:after="40" w:before="40"/>
      </w:pPr>
      <w:r>
        <w:rPr>
          <w:rFonts w:ascii="Calibri" w:cs="Calibri" w:eastAsia="Calibri" w:hAnsi="Calibri"/>
          <w:color w:val="1A1A2E"/>
          <w:sz w:val="22"/>
          <w:szCs w:val="22"/>
        </w:rPr>
        <w:t xml:space="preserve">Great Place to Work® Trust Index™ (Robert Levering &amp; Amy Lyman, 1984; GPTW Institute)</w:t>
      </w:r>
    </w:p>
    <w:p>
      <w:pPr>
        <w:pStyle w:val="ListParagraph"/>
        <w:numPr>
          <w:ilvl w:val="0"/>
          <w:numId w:val="2"/>
        </w:numPr>
        <w:spacing w:after="40" w:before="40"/>
      </w:pPr>
      <w:r>
        <w:rPr>
          <w:rFonts w:ascii="Calibri" w:cs="Calibri" w:eastAsia="Calibri" w:hAnsi="Calibri"/>
          <w:color w:val="1A1A2E"/>
          <w:sz w:val="22"/>
          <w:szCs w:val="22"/>
        </w:rPr>
        <w:t xml:space="preserve">Best Nonprofits to Work For (Best Companies Group / NonProfit Times annual survey)</w:t>
      </w:r>
    </w:p>
    <w:p>
      <w:pPr>
        <w:pStyle w:val="ListParagraph"/>
        <w:numPr>
          <w:ilvl w:val="0"/>
          <w:numId w:val="2"/>
        </w:numPr>
        <w:spacing w:after="40" w:before="40"/>
      </w:pPr>
      <w:r>
        <w:rPr>
          <w:rFonts w:ascii="Calibri" w:cs="Calibri" w:eastAsia="Calibri" w:hAnsi="Calibri"/>
          <w:color w:val="1A1A2E"/>
          <w:sz w:val="22"/>
          <w:szCs w:val="22"/>
        </w:rPr>
        <w:t xml:space="preserve">Google Project Aristotle (Google People Operations, 2012–2015)</w:t>
      </w:r>
    </w:p>
    <w:p>
      <w:pPr>
        <w:pStyle w:val="ListParagraph"/>
        <w:numPr>
          <w:ilvl w:val="0"/>
          <w:numId w:val="2"/>
        </w:numPr>
        <w:spacing w:after="40" w:before="40"/>
      </w:pPr>
      <w:r>
        <w:rPr>
          <w:rFonts w:ascii="Calibri" w:cs="Calibri" w:eastAsia="Calibri" w:hAnsi="Calibri"/>
          <w:color w:val="1A1A2E"/>
          <w:sz w:val="22"/>
          <w:szCs w:val="22"/>
        </w:rPr>
        <w:t xml:space="preserve">Gallup Q12® Employee Engagement Survey (Gallup, Inc.)</w:t>
      </w:r>
    </w:p>
    <w:p>
      <w:pPr>
        <w:pStyle w:val="ListParagraph"/>
        <w:numPr>
          <w:ilvl w:val="0"/>
          <w:numId w:val="2"/>
        </w:numPr>
        <w:spacing w:after="40" w:before="40"/>
      </w:pPr>
      <w:r>
        <w:rPr>
          <w:rFonts w:ascii="Calibri" w:cs="Calibri" w:eastAsia="Calibri" w:hAnsi="Calibri"/>
          <w:color w:val="1A1A2E"/>
          <w:sz w:val="22"/>
          <w:szCs w:val="22"/>
        </w:rPr>
        <w:t xml:space="preserve">Amy Edmondson's Team Psychological Safety Scale (Harvard Business School, 1999)</w:t>
      </w:r>
    </w:p>
    <w:p>
      <w:pPr>
        <w:spacing w:after="80" w:before="80"/>
      </w:pPr>
      <w:r>
        <w:t xml:space="preserve"/>
      </w:r>
    </w:p>
    <w:p>
      <w:pPr>
        <w:spacing w:after="80" w:before="60"/>
        <w:jc w:val="both"/>
      </w:pPr>
      <w:r>
        <w:rPr>
          <w:rFonts w:ascii="Calibri" w:cs="Calibri" w:eastAsia="Calibri" w:hAnsi="Calibri"/>
          <w:b w:val="false"/>
          <w:bCs w:val="false"/>
          <w:i w:val="false"/>
          <w:iCs w:val="false"/>
          <w:color w:val="1A1A2E"/>
          <w:sz w:val="22"/>
          <w:szCs w:val="22"/>
        </w:rPr>
        <w:t xml:space="preserve">No questions are copied verbatim from proprietary instruments (to respect intellectual property). Instead, each BOOST! question is an original item inspired by the theoretical construct underlying a validated question, adapted for small-employer contexts. Each item is tagged with its source dimension, enabling automatic dimension scoring and heatmap visualization.</w:t>
      </w:r>
    </w:p>
    <w:p>
      <w:pPr>
        <w:spacing w:after="80" w:before="60"/>
        <w:jc w:val="both"/>
      </w:pPr>
      <w:r>
        <w:rPr>
          <w:rFonts w:ascii="Calibri" w:cs="Calibri" w:eastAsia="Calibri" w:hAnsi="Calibri"/>
          <w:b w:val="false"/>
          <w:bCs w:val="false"/>
          <w:i w:val="false"/>
          <w:iCs w:val="false"/>
          <w:color w:val="1A1A2E"/>
          <w:sz w:val="22"/>
          <w:szCs w:val="22"/>
        </w:rPr>
        <w:t xml:space="preserve">The result is a survey platform where a 25-person nonprofit can field a 10-minute quarterly survey and receive benchmarked, actionable data—organized around the same dimensions that Fortune 100 companies and leading academic researchers use—without requiring an HR department or an I/O psychologist on staff.</w:t>
      </w:r>
    </w:p>
    <w:p>
      <w:r>
        <w:br w:type="page"/>
      </w:r>
    </w:p>
    <w:p>
      <w:pPr>
        <w:pStyle w:val="Heading1"/>
        <w:spacing w:after="180" w:before="360"/>
      </w:pPr>
      <w:r>
        <w:rPr>
          <w:rFonts w:ascii="Calibri" w:cs="Calibri" w:eastAsia="Calibri" w:hAnsi="Calibri"/>
          <w:b/>
          <w:bCs/>
          <w:color w:val="0F1F5C"/>
          <w:sz w:val="36"/>
          <w:szCs w:val="36"/>
        </w:rPr>
        <w:t xml:space="preserve">Section 2: Framework Summaries</w:t>
      </w:r>
    </w:p>
    <w:p>
      <w:pPr>
        <w:spacing w:after="80" w:before="60"/>
        <w:jc w:val="both"/>
      </w:pPr>
      <w:r>
        <w:rPr>
          <w:rFonts w:ascii="Calibri" w:cs="Calibri" w:eastAsia="Calibri" w:hAnsi="Calibri"/>
          <w:b w:val="false"/>
          <w:bCs w:val="false"/>
          <w:i w:val="false"/>
          <w:iCs w:val="false"/>
          <w:color w:val="1A1A2E"/>
          <w:sz w:val="22"/>
          <w:szCs w:val="22"/>
        </w:rPr>
        <w:t xml:space="preserve">This section summarizes each of the five research frameworks underpinning the BOOST! Pulse question bank. For each framework, we describe the origin and authors, the key dimensions or factors, and how BOOST! Pulse adapts it for small employers.</w:t>
      </w:r>
    </w:p>
    <w:p>
      <w:pPr>
        <w:pStyle w:val="Heading2"/>
        <w:spacing w:after="140" w:before="280"/>
      </w:pPr>
      <w:r>
        <w:rPr>
          <w:rFonts w:ascii="Calibri" w:cs="Calibri" w:eastAsia="Calibri" w:hAnsi="Calibri"/>
          <w:b/>
          <w:bCs/>
          <w:color w:val="0F1F5C"/>
          <w:sz w:val="28"/>
          <w:szCs w:val="28"/>
        </w:rPr>
        <w:t xml:space="preserve">2.1 Great Place to Work® Trust Index™</w:t>
      </w:r>
    </w:p>
    <w:p>
      <w:pPr>
        <w:spacing w:after="80" w:before="60"/>
        <w:jc w:val="both"/>
      </w:pPr>
      <w:r>
        <w:rPr>
          <w:rFonts w:ascii="Calibri" w:cs="Calibri" w:eastAsia="Calibri" w:hAnsi="Calibri"/>
          <w:b/>
          <w:bCs/>
          <w:color w:val="0F1F5C"/>
          <w:sz w:val="22"/>
          <w:szCs w:val="22"/>
        </w:rPr>
        <w:t xml:space="preserve">Developed by: </w:t>
      </w:r>
      <w:r>
        <w:rPr>
          <w:rFonts w:ascii="Calibri" w:cs="Calibri" w:eastAsia="Calibri" w:hAnsi="Calibri"/>
          <w:color w:val="1A1A2E"/>
          <w:sz w:val="22"/>
          <w:szCs w:val="22"/>
        </w:rPr>
        <w:t xml:space="preserve">Robert Levering and Milton Moskowitz (1984); formalized by the Great Place To Work® Institute. Now a global research and consulting organization operating in 60+ countries.</w:t>
      </w:r>
    </w:p>
    <w:p>
      <w:pPr>
        <w:spacing w:after="80" w:before="60"/>
        <w:jc w:val="both"/>
      </w:pPr>
      <w:r>
        <w:rPr>
          <w:rFonts w:ascii="Calibri" w:cs="Calibri" w:eastAsia="Calibri" w:hAnsi="Calibri"/>
          <w:b/>
          <w:bCs/>
          <w:color w:val="0F1F5C"/>
          <w:sz w:val="22"/>
          <w:szCs w:val="22"/>
        </w:rPr>
        <w:t xml:space="preserve">Primary source: </w:t>
      </w:r>
      <w:r>
        <w:rPr>
          <w:rFonts w:ascii="Calibri" w:cs="Calibri" w:eastAsia="Calibri" w:hAnsi="Calibri"/>
          <w:color w:val="1A1A2E"/>
          <w:sz w:val="22"/>
          <w:szCs w:val="22"/>
        </w:rPr>
        <w:t xml:space="preserve">greatplacetowork.com</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What It Measures</w:t>
      </w:r>
    </w:p>
    <w:p>
      <w:pPr>
        <w:spacing w:after="80" w:before="60"/>
        <w:jc w:val="both"/>
      </w:pPr>
      <w:r>
        <w:rPr>
          <w:rFonts w:ascii="Calibri" w:cs="Calibri" w:eastAsia="Calibri" w:hAnsi="Calibri"/>
          <w:b w:val="false"/>
          <w:bCs w:val="false"/>
          <w:i w:val="false"/>
          <w:iCs w:val="false"/>
          <w:color w:val="1A1A2E"/>
          <w:sz w:val="22"/>
          <w:szCs w:val="22"/>
        </w:rPr>
        <w:t xml:space="preserve">The Trust Index™ is a 60-statement employee survey that measures workplace culture across five universal dimensions. These dimensions were identified through three decades of research covering data from more than 100 million employees globally.</w:t>
      </w:r>
    </w:p>
    <w:p>
      <w:pPr>
        <w:spacing w:after="80" w:before="120"/>
      </w:pPr>
      <w:r>
        <w:rPr>
          <w:rFonts w:ascii="Calibri" w:cs="Calibri" w:eastAsia="Calibri" w:hAnsi="Calibri"/>
          <w:b/>
          <w:bCs/>
          <w:color w:val="0F1F5C"/>
          <w:sz w:val="22"/>
          <w:szCs w:val="22"/>
        </w:rPr>
        <w:t xml:space="preserve">The five dimensions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c>
          <w:tcPr>
            <w:tcW w:type="dxa" w:w="1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Dimension</w:t>
            </w:r>
          </w:p>
        </w:tc>
        <w:tc>
          <w:tcPr>
            <w:tcW w:type="dxa" w:w="2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Core Question</w:t>
            </w:r>
          </w:p>
        </w:tc>
        <w:tc>
          <w:tcPr>
            <w:tcW w:type="dxa" w:w="5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It Measures</w:t>
            </w:r>
          </w:p>
        </w:tc>
      </w:tr>
      <w:tr>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Credibility</w:t>
            </w:r>
          </w:p>
        </w:tc>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Do employees believe management is competent and honest?</w:t>
            </w:r>
          </w:p>
        </w:tc>
        <w:tc>
          <w:tcPr>
            <w:tcW w:type="dxa" w:w="5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Communication quality, management competence, leadership integrity and reliability</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Respect</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Do employees feel management values them as people?</w:t>
            </w:r>
          </w:p>
        </w:tc>
        <w:tc>
          <w:tcPr>
            <w:tcW w:type="dxa" w:w="5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Professional development support, collaboration in decisions, genuine care for employees as individuals and work-life balance</w:t>
            </w:r>
          </w:p>
        </w:tc>
      </w:tr>
      <w:tr>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Fairness</w:t>
            </w:r>
          </w:p>
        </w:tc>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Do employees feel decisions and opportunities are equitable?</w:t>
            </w:r>
          </w:p>
        </w:tc>
        <w:tc>
          <w:tcPr>
            <w:tcW w:type="dxa" w:w="5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Pay equity, impartiality in promotions, absence of discrimination, access to formal appeals processes</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Pride</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Do employees feel proud of their work and organization?</w:t>
            </w:r>
          </w:p>
        </w:tc>
        <w:tc>
          <w:tcPr>
            <w:tcW w:type="dxa" w:w="5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Individual contribution, team accomplishments, company reputation and community standing</w:t>
            </w:r>
          </w:p>
        </w:tc>
      </w:tr>
      <w:tr>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Camaraderie</w:t>
            </w:r>
          </w:p>
        </w:tc>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Do employees experience genuine connection with colleagues?</w:t>
            </w:r>
          </w:p>
        </w:tc>
        <w:tc>
          <w:tcPr>
            <w:tcW w:type="dxa" w:w="5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Hospitality and welcoming culture, ability to be authentic, sense of community and teamwork</w:t>
            </w:r>
          </w:p>
        </w:tc>
      </w:tr>
    </w:tbl>
    <w:p>
      <w:pPr>
        <w:spacing w:after="120" w:before="120"/>
      </w:pPr>
      <w:r>
        <w:t xml:space="preserve"/>
      </w:r>
    </w:p>
    <w:p>
      <w:pPr>
        <w:pStyle w:val="Heading3"/>
        <w:spacing w:after="100" w:before="220"/>
      </w:pPr>
      <w:r>
        <w:rPr>
          <w:rFonts w:ascii="Calibri" w:cs="Calibri" w:eastAsia="Calibri" w:hAnsi="Calibri"/>
          <w:b/>
          <w:bCs/>
          <w:color w:val="9B1FBF"/>
          <w:sz w:val="24"/>
          <w:szCs w:val="24"/>
        </w:rPr>
        <w:t xml:space="preserve">How GPTW Scoring Works</w:t>
      </w:r>
    </w:p>
    <w:p>
      <w:pPr>
        <w:spacing w:after="80" w:before="60"/>
        <w:jc w:val="both"/>
      </w:pPr>
      <w:r>
        <w:rPr>
          <w:rFonts w:ascii="Calibri" w:cs="Calibri" w:eastAsia="Calibri" w:hAnsi="Calibri"/>
          <w:b w:val="false"/>
          <w:bCs w:val="false"/>
          <w:i w:val="false"/>
          <w:iCs w:val="false"/>
          <w:color w:val="1A1A2E"/>
          <w:sz w:val="22"/>
          <w:szCs w:val="22"/>
        </w:rPr>
        <w:t xml:space="preserve">Employees rate each of the 60 statements on a five-point consistency scale (from "Almost Never" to "Almost Always"). Positive responses (scores of 4 or 5) are averaged to produce an organization-wide Trust Index score on a 0–100 scale. Companies in which at least 70% of employees report a positive experience (Trust Index score ≥ 70) and have submitted a Culture Brief™ achieve Great Place To Work Certification®.</w:t>
      </w:r>
    </w:p>
    <w:p>
      <w:pPr>
        <w:spacing w:after="80" w:before="80"/>
      </w:pPr>
      <w:r>
        <w:rPr>
          <w:rFonts w:ascii="Calibri" w:cs="Calibri" w:eastAsia="Calibri" w:hAnsi="Calibri"/>
          <w:b/>
          <w:bCs/>
          <w:color w:val="0F1F5C"/>
          <w:sz w:val="22"/>
          <w:szCs w:val="22"/>
        </w:rPr>
        <w:t xml:space="preserve">Trust Index Score Certification threshold: </w:t>
      </w:r>
      <w:r>
        <w:rPr>
          <w:rFonts w:ascii="Calibri" w:cs="Calibri" w:eastAsia="Calibri" w:hAnsi="Calibri"/>
          <w:color w:val="1A1A2E"/>
          <w:sz w:val="22"/>
          <w:szCs w:val="22"/>
        </w:rPr>
        <w:t xml:space="preserve">70% positive responses or higher.</w:t>
      </w:r>
      <w:r>
        <w:rPr>
          <w:rStyle w:val="FootnoteReference"/>
        </w:rPr>
        <w:footnoteReference w:id="1"/>
      </w:r>
    </w:p>
    <w:p>
      <w:pPr>
        <w:pStyle w:val="Heading3"/>
        <w:spacing w:after="100" w:before="220"/>
      </w:pPr>
      <w:r>
        <w:rPr>
          <w:rFonts w:ascii="Calibri" w:cs="Calibri" w:eastAsia="Calibri" w:hAnsi="Calibri"/>
          <w:b/>
          <w:bCs/>
          <w:color w:val="9B1FBF"/>
          <w:sz w:val="24"/>
          <w:szCs w:val="24"/>
        </w:rPr>
        <w:t xml:space="preserve">BOOST! Pulse Adaptation for Small Employers</w:t>
      </w:r>
    </w:p>
    <w:p>
      <w:pPr>
        <w:spacing w:after="80" w:before="60"/>
        <w:jc w:val="both"/>
      </w:pPr>
      <w:r>
        <w:rPr>
          <w:rFonts w:ascii="Calibri" w:cs="Calibri" w:eastAsia="Calibri" w:hAnsi="Calibri"/>
          <w:b w:val="false"/>
          <w:bCs w:val="false"/>
          <w:i w:val="false"/>
          <w:iCs w:val="false"/>
          <w:color w:val="1A1A2E"/>
          <w:sz w:val="22"/>
          <w:szCs w:val="22"/>
        </w:rPr>
        <w:t xml:space="preserve">For employers with ≤100 employees, BOOST! draws from the Trust Index's three leadership-facing dimensions (Credibility, Respect, Fairness) and two culture-facing dimensions (Pride, Camaraderie) to create six lean BOOST! modules. The 60-statement full survey is replaced with 4–6 original items per dimension, appropriate for 5–20 minute pulse surveys rather than an annual census.</w:t>
      </w:r>
    </w:p>
    <w:p>
      <w:pPr>
        <w:pStyle w:val="ListParagraph"/>
        <w:numPr>
          <w:ilvl w:val="0"/>
          <w:numId w:val="2"/>
        </w:numPr>
        <w:spacing w:after="40" w:before="40"/>
      </w:pPr>
      <w:r>
        <w:rPr>
          <w:rFonts w:ascii="Calibri" w:cs="Calibri" w:eastAsia="Calibri" w:hAnsi="Calibri"/>
          <w:color w:val="1A1A2E"/>
          <w:sz w:val="22"/>
          <w:szCs w:val="22"/>
        </w:rPr>
        <w:t xml:space="preserve">Small employers rarely have formal HR processes; BOOST! Respect questions emphasize direct manager behavior over organizational policy</w:t>
      </w:r>
    </w:p>
    <w:p>
      <w:pPr>
        <w:pStyle w:val="ListParagraph"/>
        <w:numPr>
          <w:ilvl w:val="0"/>
          <w:numId w:val="2"/>
        </w:numPr>
        <w:spacing w:after="40" w:before="40"/>
      </w:pPr>
      <w:r>
        <w:rPr>
          <w:rFonts w:ascii="Calibri" w:cs="Calibri" w:eastAsia="Calibri" w:hAnsi="Calibri"/>
          <w:color w:val="1A1A2E"/>
          <w:sz w:val="22"/>
          <w:szCs w:val="22"/>
        </w:rPr>
        <w:t xml:space="preserve">GPTW Fairness questions are reframed around decision transparency and pay equity conversations rather than formal appeals processes</w:t>
      </w:r>
    </w:p>
    <w:p>
      <w:pPr>
        <w:pStyle w:val="ListParagraph"/>
        <w:numPr>
          <w:ilvl w:val="0"/>
          <w:numId w:val="2"/>
        </w:numPr>
        <w:spacing w:after="40" w:before="40"/>
      </w:pPr>
      <w:r>
        <w:rPr>
          <w:rFonts w:ascii="Calibri" w:cs="Calibri" w:eastAsia="Calibri" w:hAnsi="Calibri"/>
          <w:color w:val="1A1A2E"/>
          <w:sz w:val="22"/>
          <w:szCs w:val="22"/>
        </w:rPr>
        <w:t xml:space="preserve">Camaraderie questions are adapted for distributed/hybrid small teams where formal "celebrations" may not exist</w:t>
      </w:r>
    </w:p>
    <w:p>
      <w:pPr>
        <w:spacing w:after="80" w:before="40"/>
        <w:jc w:val="left"/>
      </w:pPr>
      <w:r>
        <w:rPr>
          <w:rFonts w:ascii="Calibri" w:cs="Calibri" w:eastAsia="Calibri" w:hAnsi="Calibri"/>
          <w:i/>
          <w:iCs/>
          <w:color w:val="666666"/>
          <w:sz w:val="18"/>
          <w:szCs w:val="18"/>
        </w:rPr>
        <w:t xml:space="preserve">Source: Great Place To Work® Trust Model © — greatplacetowork.me/trust-model/ | greatplacetowork.com/solutions/certification</w:t>
      </w:r>
    </w:p>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2.2 Best Nonprofits to Work For</w:t>
      </w:r>
    </w:p>
    <w:p>
      <w:pPr>
        <w:spacing w:after="80" w:before="60"/>
        <w:jc w:val="both"/>
      </w:pPr>
      <w:r>
        <w:rPr>
          <w:rFonts w:ascii="Calibri" w:cs="Calibri" w:eastAsia="Calibri" w:hAnsi="Calibri"/>
          <w:b/>
          <w:bCs/>
          <w:color w:val="0F1F5C"/>
          <w:sz w:val="22"/>
          <w:szCs w:val="22"/>
        </w:rPr>
        <w:t xml:space="preserve">Developed by: </w:t>
      </w:r>
      <w:r>
        <w:rPr>
          <w:rFonts w:ascii="Calibri" w:cs="Calibri" w:eastAsia="Calibri" w:hAnsi="Calibri"/>
          <w:color w:val="1A1A2E"/>
          <w:sz w:val="22"/>
          <w:szCs w:val="22"/>
        </w:rPr>
        <w:t xml:space="preserve">Best Companies Group in partnership with The NonProfit Times. Published annually; survey designed and administered by Best Companies Group using the Employee Engagement and Satisfaction Survey (EESS).</w:t>
      </w:r>
    </w:p>
    <w:p>
      <w:pPr>
        <w:spacing w:after="80" w:before="60"/>
        <w:jc w:val="both"/>
      </w:pPr>
      <w:r>
        <w:rPr>
          <w:rFonts w:ascii="Calibri" w:cs="Calibri" w:eastAsia="Calibri" w:hAnsi="Calibri"/>
          <w:b/>
          <w:bCs/>
          <w:color w:val="0F1F5C"/>
          <w:sz w:val="22"/>
          <w:szCs w:val="22"/>
        </w:rPr>
        <w:t xml:space="preserve">Primary source: </w:t>
      </w:r>
      <w:r>
        <w:rPr>
          <w:rFonts w:ascii="Calibri" w:cs="Calibri" w:eastAsia="Calibri" w:hAnsi="Calibri"/>
          <w:color w:val="1A1A2E"/>
          <w:sz w:val="22"/>
          <w:szCs w:val="22"/>
        </w:rPr>
        <w:t xml:space="preserve">thenonprofittimes.com/best-nonprofits-to-work-for</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What It Measures</w:t>
      </w:r>
    </w:p>
    <w:p>
      <w:pPr>
        <w:spacing w:after="80" w:before="60"/>
        <w:jc w:val="both"/>
      </w:pPr>
      <w:r>
        <w:rPr>
          <w:rFonts w:ascii="Calibri" w:cs="Calibri" w:eastAsia="Calibri" w:hAnsi="Calibri"/>
          <w:b w:val="false"/>
          <w:bCs w:val="false"/>
          <w:i w:val="false"/>
          <w:iCs w:val="false"/>
          <w:color w:val="1A1A2E"/>
          <w:sz w:val="22"/>
          <w:szCs w:val="22"/>
        </w:rPr>
        <w:t xml:space="preserve">The Best Nonprofits to Work For program is an annual ranking that identifies nonprofit organizations with the highest levels of employee engagement and satisfaction. The Employee Engagement and Satisfaction Survey consists of approximately 78 statements that employees respond to on a five-point agreement scale. Survey results account for 75% of each organization's overall score; the other 25% comes from a detailed questionnaire about benefits, policies, and practices submitted by the employer.</w:t>
      </w:r>
    </w:p>
    <w:p>
      <w:pPr>
        <w:spacing w:after="80" w:before="60"/>
        <w:jc w:val="both"/>
      </w:pPr>
      <w:r>
        <w:rPr>
          <w:rFonts w:ascii="Calibri" w:cs="Calibri" w:eastAsia="Calibri" w:hAnsi="Calibri"/>
          <w:b w:val="false"/>
          <w:bCs w:val="false"/>
          <w:i w:val="false"/>
          <w:iCs w:val="false"/>
          <w:color w:val="1A1A2E"/>
          <w:sz w:val="22"/>
          <w:szCs w:val="22"/>
        </w:rPr>
        <w:t xml:space="preserve">Key drivers identified consistently across nonprofit Best Workplaces surveys include:</w:t>
      </w:r>
    </w:p>
    <w:p>
      <w:pPr>
        <w:pStyle w:val="ListParagraph"/>
        <w:numPr>
          <w:ilvl w:val="0"/>
          <w:numId w:val="2"/>
        </w:numPr>
        <w:spacing w:after="40" w:before="40"/>
      </w:pPr>
      <w:r>
        <w:rPr>
          <w:rFonts w:ascii="Calibri" w:cs="Calibri" w:eastAsia="Calibri" w:hAnsi="Calibri"/>
          <w:color w:val="1A1A2E"/>
          <w:sz w:val="22"/>
          <w:szCs w:val="22"/>
        </w:rPr>
        <w:t xml:space="preserve">Feeling valued in the organization</w:t>
      </w:r>
    </w:p>
    <w:p>
      <w:pPr>
        <w:pStyle w:val="ListParagraph"/>
        <w:numPr>
          <w:ilvl w:val="0"/>
          <w:numId w:val="2"/>
        </w:numPr>
        <w:spacing w:after="40" w:before="40"/>
      </w:pPr>
      <w:r>
        <w:rPr>
          <w:rFonts w:ascii="Calibri" w:cs="Calibri" w:eastAsia="Calibri" w:hAnsi="Calibri"/>
          <w:color w:val="1A1A2E"/>
          <w:sz w:val="22"/>
          <w:szCs w:val="22"/>
        </w:rPr>
        <w:t xml:space="preserve">Confidence in organizational leadership</w:t>
      </w:r>
    </w:p>
    <w:p>
      <w:pPr>
        <w:pStyle w:val="ListParagraph"/>
        <w:numPr>
          <w:ilvl w:val="0"/>
          <w:numId w:val="2"/>
        </w:numPr>
        <w:spacing w:after="40" w:before="40"/>
      </w:pPr>
      <w:r>
        <w:rPr>
          <w:rFonts w:ascii="Calibri" w:cs="Calibri" w:eastAsia="Calibri" w:hAnsi="Calibri"/>
          <w:color w:val="1A1A2E"/>
          <w:sz w:val="22"/>
          <w:szCs w:val="22"/>
        </w:rPr>
        <w:t xml:space="preserve">Liking the type of work performed</w:t>
      </w:r>
    </w:p>
    <w:p>
      <w:pPr>
        <w:pStyle w:val="ListParagraph"/>
        <w:numPr>
          <w:ilvl w:val="0"/>
          <w:numId w:val="2"/>
        </w:numPr>
        <w:spacing w:after="40" w:before="40"/>
      </w:pPr>
      <w:r>
        <w:rPr>
          <w:rFonts w:ascii="Calibri" w:cs="Calibri" w:eastAsia="Calibri" w:hAnsi="Calibri"/>
          <w:color w:val="1A1A2E"/>
          <w:sz w:val="22"/>
          <w:szCs w:val="22"/>
        </w:rPr>
        <w:t xml:space="preserve">Sense of progress at work most days</w:t>
      </w:r>
    </w:p>
    <w:p>
      <w:pPr>
        <w:pStyle w:val="ListParagraph"/>
        <w:numPr>
          <w:ilvl w:val="0"/>
          <w:numId w:val="2"/>
        </w:numPr>
        <w:spacing w:after="40" w:before="40"/>
      </w:pPr>
      <w:r>
        <w:rPr>
          <w:rFonts w:ascii="Calibri" w:cs="Calibri" w:eastAsia="Calibri" w:hAnsi="Calibri"/>
          <w:color w:val="1A1A2E"/>
          <w:sz w:val="22"/>
          <w:szCs w:val="22"/>
        </w:rPr>
        <w:t xml:space="preserve">Trust in what the organization communicates</w:t>
      </w:r>
    </w:p>
    <w:p>
      <w:pPr>
        <w:pStyle w:val="ListParagraph"/>
        <w:numPr>
          <w:ilvl w:val="0"/>
          <w:numId w:val="2"/>
        </w:numPr>
        <w:spacing w:after="40" w:before="40"/>
      </w:pPr>
      <w:r>
        <w:rPr>
          <w:rFonts w:ascii="Calibri" w:cs="Calibri" w:eastAsia="Calibri" w:hAnsi="Calibri"/>
          <w:color w:val="1A1A2E"/>
          <w:sz w:val="22"/>
          <w:szCs w:val="22"/>
        </w:rPr>
        <w:t xml:space="preserve">Positive peer relationships</w:t>
      </w:r>
    </w:p>
    <w:p>
      <w:pPr>
        <w:pStyle w:val="ListParagraph"/>
        <w:numPr>
          <w:ilvl w:val="0"/>
          <w:numId w:val="2"/>
        </w:numPr>
        <w:spacing w:after="40" w:before="40"/>
      </w:pPr>
      <w:r>
        <w:rPr>
          <w:rFonts w:ascii="Calibri" w:cs="Calibri" w:eastAsia="Calibri" w:hAnsi="Calibri"/>
          <w:color w:val="1A1A2E"/>
          <w:sz w:val="22"/>
          <w:szCs w:val="22"/>
        </w:rPr>
        <w:t xml:space="preserve">Advancement and growth opportunities</w:t>
      </w:r>
    </w:p>
    <w:p>
      <w:pPr>
        <w:pStyle w:val="ListParagraph"/>
        <w:numPr>
          <w:ilvl w:val="0"/>
          <w:numId w:val="2"/>
        </w:numPr>
        <w:spacing w:after="40" w:before="40"/>
      </w:pPr>
      <w:r>
        <w:rPr>
          <w:rFonts w:ascii="Calibri" w:cs="Calibri" w:eastAsia="Calibri" w:hAnsi="Calibri"/>
          <w:color w:val="1A1A2E"/>
          <w:sz w:val="22"/>
          <w:szCs w:val="22"/>
        </w:rPr>
        <w:t xml:space="preserve">Strong supervisor relationship built on respect</w:t>
      </w:r>
    </w:p>
    <w:p>
      <w:pPr>
        <w:pStyle w:val="ListParagraph"/>
        <w:numPr>
          <w:ilvl w:val="0"/>
          <w:numId w:val="2"/>
        </w:numPr>
        <w:spacing w:after="40" w:before="40"/>
      </w:pPr>
      <w:r>
        <w:rPr>
          <w:rFonts w:ascii="Calibri" w:cs="Calibri" w:eastAsia="Calibri" w:hAnsi="Calibri"/>
          <w:color w:val="1A1A2E"/>
          <w:sz w:val="22"/>
          <w:szCs w:val="22"/>
        </w:rPr>
        <w:t xml:space="preserve">Mission alignment — work that matters</w:t>
      </w:r>
    </w:p>
    <w:p>
      <w:pPr>
        <w:pStyle w:val="ListParagraph"/>
        <w:numPr>
          <w:ilvl w:val="0"/>
          <w:numId w:val="2"/>
        </w:numPr>
        <w:spacing w:after="40" w:before="40"/>
      </w:pPr>
      <w:r>
        <w:rPr>
          <w:rFonts w:ascii="Calibri" w:cs="Calibri" w:eastAsia="Calibri" w:hAnsi="Calibri"/>
          <w:color w:val="1A1A2E"/>
          <w:sz w:val="22"/>
          <w:szCs w:val="22"/>
        </w:rPr>
        <w:t xml:space="preserve">Benefits satisfaction (especially flexibility and work-life balance)</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How Nonprofit Culture Differs from For-Profit</w:t>
      </w:r>
    </w:p>
    <w:p>
      <w:pPr>
        <w:spacing w:after="80" w:before="60"/>
        <w:jc w:val="both"/>
      </w:pPr>
      <w:r>
        <w:rPr>
          <w:rFonts w:ascii="Calibri" w:cs="Calibri" w:eastAsia="Calibri" w:hAnsi="Calibri"/>
          <w:b w:val="false"/>
          <w:bCs w:val="false"/>
          <w:i w:val="false"/>
          <w:iCs w:val="false"/>
          <w:color w:val="1A1A2E"/>
          <w:sz w:val="22"/>
          <w:szCs w:val="22"/>
        </w:rPr>
        <w:t xml:space="preserve">Research consistently shows that nonprofit employees are more mission-driven and less financially motivated than their for-profit counterparts. Key cultural differences that affect survey design include:</w:t>
      </w:r>
    </w:p>
    <w:p>
      <w:pPr>
        <w:pStyle w:val="ListParagraph"/>
        <w:numPr>
          <w:ilvl w:val="0"/>
          <w:numId w:val="2"/>
        </w:numPr>
        <w:spacing w:after="40" w:before="40"/>
      </w:pPr>
      <w:r>
        <w:rPr>
          <w:rFonts w:ascii="Calibri" w:cs="Calibri" w:eastAsia="Calibri" w:hAnsi="Calibri"/>
          <w:color w:val="1A1A2E"/>
          <w:sz w:val="22"/>
          <w:szCs w:val="22"/>
        </w:rPr>
        <w:t xml:space="preserve">Mission salience: Nonprofit employees expect direct line-of-sight between their daily tasks and organizational impact. A question like "My work contributes to the mission" carries more weight in nonprofit surveys than in corporate ones.</w:t>
      </w:r>
    </w:p>
    <w:p>
      <w:pPr>
        <w:pStyle w:val="ListParagraph"/>
        <w:numPr>
          <w:ilvl w:val="0"/>
          <w:numId w:val="2"/>
        </w:numPr>
        <w:spacing w:after="40" w:before="40"/>
      </w:pPr>
      <w:r>
        <w:rPr>
          <w:rFonts w:ascii="Calibri" w:cs="Calibri" w:eastAsia="Calibri" w:hAnsi="Calibri"/>
          <w:color w:val="1A1A2E"/>
          <w:sz w:val="22"/>
          <w:szCs w:val="22"/>
        </w:rPr>
        <w:t xml:space="preserve">Leadership credibility: Nonprofit data shows that confidence in leadership and transparent communication are among the top three satisfaction drivers — outweighing compensation in most surveys.</w:t>
      </w:r>
    </w:p>
    <w:p>
      <w:pPr>
        <w:pStyle w:val="ListParagraph"/>
        <w:numPr>
          <w:ilvl w:val="0"/>
          <w:numId w:val="2"/>
        </w:numPr>
        <w:spacing w:after="40" w:before="40"/>
      </w:pPr>
      <w:r>
        <w:rPr>
          <w:rFonts w:ascii="Calibri" w:cs="Calibri" w:eastAsia="Calibri" w:hAnsi="Calibri"/>
          <w:color w:val="1A1A2E"/>
          <w:sz w:val="22"/>
          <w:szCs w:val="22"/>
        </w:rPr>
        <w:t xml:space="preserve">Supervisor quality: The Best Nonprofits data consistently shows "My supervisor treats me with respect" and "My supervisor handles my personal issues satisfactorily" as near-ceiling items (93%+ positive at top nonprofits), making supervisor relationship quality a strong differentiator.</w:t>
      </w:r>
    </w:p>
    <w:p>
      <w:pPr>
        <w:pStyle w:val="ListParagraph"/>
        <w:numPr>
          <w:ilvl w:val="0"/>
          <w:numId w:val="2"/>
        </w:numPr>
        <w:spacing w:after="40" w:before="40"/>
      </w:pPr>
      <w:r>
        <w:rPr>
          <w:rFonts w:ascii="Calibri" w:cs="Calibri" w:eastAsia="Calibri" w:hAnsi="Calibri"/>
          <w:color w:val="1A1A2E"/>
          <w:sz w:val="22"/>
          <w:szCs w:val="22"/>
        </w:rPr>
        <w:t xml:space="preserve">Compensation trade-offs: Nonprofit employees typically accept below-market compensation in exchange for mission alignment and flexibility. Survey questions about compensation satisfaction must be contextualized differently than in for-profit environments.</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BOOST! Pulse Adaptation for Small Employers</w:t>
      </w:r>
    </w:p>
    <w:p>
      <w:pPr>
        <w:spacing w:after="80" w:before="60"/>
        <w:jc w:val="both"/>
      </w:pPr>
      <w:r>
        <w:rPr>
          <w:rFonts w:ascii="Calibri" w:cs="Calibri" w:eastAsia="Calibri" w:hAnsi="Calibri"/>
          <w:b w:val="false"/>
          <w:bCs w:val="false"/>
          <w:i w:val="false"/>
          <w:iCs w:val="false"/>
          <w:color w:val="1A1A2E"/>
          <w:sz w:val="22"/>
          <w:szCs w:val="22"/>
        </w:rPr>
        <w:t xml:space="preserve">BOOST! incorporates the Best Nonprofits framework through a dedicated Mission &amp; Purpose dimension and a Supervisor Relationship module. Because BOOST! serves small nonprofits specifically, these modules are front-loaded in the Quick Pulse template — a 10-question monthly survey will always include at least one mission question and one manager relationship question.</w:t>
      </w:r>
    </w:p>
    <w:p>
      <w:pPr>
        <w:spacing w:after="80" w:before="40"/>
        <w:jc w:val="left"/>
      </w:pPr>
      <w:r>
        <w:rPr>
          <w:rFonts w:ascii="Calibri" w:cs="Calibri" w:eastAsia="Calibri" w:hAnsi="Calibri"/>
          <w:i/>
          <w:iCs/>
          <w:color w:val="666666"/>
          <w:sz w:val="18"/>
          <w:szCs w:val="18"/>
        </w:rPr>
        <w:t xml:space="preserve">Source: The NonProfit Times, "The 2024 Best NPOs To Work For" — thenonprofittimes.com | Best Companies Group bestcompaniesgroup.com</w:t>
      </w:r>
    </w:p>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2.3 Google Project Aristotle</w:t>
      </w:r>
    </w:p>
    <w:p>
      <w:pPr>
        <w:spacing w:after="80" w:before="60"/>
        <w:jc w:val="both"/>
      </w:pPr>
      <w:r>
        <w:rPr>
          <w:rFonts w:ascii="Calibri" w:cs="Calibri" w:eastAsia="Calibri" w:hAnsi="Calibri"/>
          <w:b/>
          <w:bCs/>
          <w:color w:val="0F1F5C"/>
          <w:sz w:val="22"/>
          <w:szCs w:val="22"/>
        </w:rPr>
        <w:t xml:space="preserve">Developed by: </w:t>
      </w:r>
      <w:r>
        <w:rPr>
          <w:rFonts w:ascii="Calibri" w:cs="Calibri" w:eastAsia="Calibri" w:hAnsi="Calibri"/>
          <w:color w:val="1A1A2E"/>
          <w:sz w:val="22"/>
          <w:szCs w:val="22"/>
        </w:rPr>
        <w:t xml:space="preserve">Google's People Operations team (now Google People Operations). Research conducted 2012–2015 across 180+ internal Google teams. Published and open-sourced through Google re:Work.</w:t>
      </w:r>
    </w:p>
    <w:p>
      <w:pPr>
        <w:spacing w:after="80" w:before="60"/>
        <w:jc w:val="both"/>
      </w:pPr>
      <w:r>
        <w:rPr>
          <w:rFonts w:ascii="Calibri" w:cs="Calibri" w:eastAsia="Calibri" w:hAnsi="Calibri"/>
          <w:b/>
          <w:bCs/>
          <w:color w:val="0F1F5C"/>
          <w:sz w:val="22"/>
          <w:szCs w:val="22"/>
        </w:rPr>
        <w:t xml:space="preserve">Primary source: </w:t>
      </w:r>
      <w:r>
        <w:rPr>
          <w:rFonts w:ascii="Calibri" w:cs="Calibri" w:eastAsia="Calibri" w:hAnsi="Calibri"/>
          <w:color w:val="1A1A2E"/>
          <w:sz w:val="22"/>
          <w:szCs w:val="22"/>
        </w:rPr>
        <w:t xml:space="preserve">rework.withgoogle.com</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What It Measures</w:t>
      </w:r>
    </w:p>
    <w:p>
      <w:pPr>
        <w:spacing w:after="80" w:before="60"/>
        <w:jc w:val="both"/>
      </w:pPr>
      <w:r>
        <w:rPr>
          <w:rFonts w:ascii="Calibri" w:cs="Calibri" w:eastAsia="Calibri" w:hAnsi="Calibri"/>
          <w:b w:val="false"/>
          <w:bCs w:val="false"/>
          <w:i w:val="false"/>
          <w:iCs w:val="false"/>
          <w:color w:val="1A1A2E"/>
          <w:sz w:val="22"/>
          <w:szCs w:val="22"/>
        </w:rPr>
        <w:t xml:space="preserve">Project Aristotle was a two-year study designed to answer one question: What makes a Google team effective? The research analyzed 180+ active Google teams, reviewing over 250 team attributes. The study found that what mattered most was not who was on a team, but how the team worked together. Five factors, listed in order of importance, accounted for team effectiveness: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Rank</w:t>
            </w:r>
          </w:p>
        </w:tc>
        <w:tc>
          <w:tcPr>
            <w:tcW w:type="dxa" w:w="2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Factor</w:t>
            </w:r>
          </w:p>
        </w:tc>
        <w:tc>
          <w:tcPr>
            <w:tcW w:type="dxa" w:w="6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Definition</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1</w:t>
            </w:r>
          </w:p>
        </w:tc>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Psychological Safety</w:t>
            </w:r>
          </w:p>
        </w:tc>
        <w:tc>
          <w:tcPr>
            <w:tcW w:type="dxa" w:w="6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Team members feel safe to take risks and be vulnerable in front of each other. They can speak up with questions, admit mistakes, and offer ideas without fear of embarrassment or punishment.</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Dependability</w:t>
            </w:r>
          </w:p>
        </w:tc>
        <w:tc>
          <w:tcPr>
            <w:tcW w:type="dxa" w:w="6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Team members reliably complete quality work on time. Everyone does their share and follows through on commitments.</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Structure &amp; Clarity</w:t>
            </w:r>
          </w:p>
        </w:tc>
        <w:tc>
          <w:tcPr>
            <w:tcW w:type="dxa" w:w="6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Team members have clear understanding of job expectations, the processes for fulfilling those expectations, and the consequences of their performance. Goals are specific, challenging, and attainable.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Meaning</w:t>
            </w:r>
          </w:p>
        </w:tc>
        <w:tc>
          <w:tcPr>
            <w:tcW w:type="dxa" w:w="6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Team members find a sense of purpose in either the work itself or in what the work produces. Meaning is personal: it may be financial, relational, or about self-expression.</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Impact</w:t>
            </w:r>
          </w:p>
        </w:tc>
        <w:tc>
          <w:tcPr>
            <w:tcW w:type="dxa" w:w="6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Team members believe the work they do matters and makes a difference. They can see how their work contributes to organizational goals.</w:t>
            </w:r>
          </w:p>
        </w:tc>
      </w:tr>
    </w:tbl>
    <w:p>
      <w:pPr>
        <w:spacing w:after="120" w:before="120"/>
      </w:pPr>
      <w:r>
        <w:t xml:space="preserve"/>
      </w:r>
    </w:p>
    <w:p>
      <w:pPr>
        <w:pStyle w:val="Heading3"/>
        <w:spacing w:after="100" w:before="220"/>
      </w:pPr>
      <w:r>
        <w:rPr>
          <w:rFonts w:ascii="Calibri" w:cs="Calibri" w:eastAsia="Calibri" w:hAnsi="Calibri"/>
          <w:b/>
          <w:bCs/>
          <w:color w:val="9B1FBF"/>
          <w:sz w:val="24"/>
          <w:szCs w:val="24"/>
        </w:rPr>
        <w:t xml:space="preserve">Why Psychological Safety Is Ranked #1</w:t>
      </w:r>
    </w:p>
    <w:p>
      <w:pPr>
        <w:spacing w:after="80" w:before="60"/>
        <w:jc w:val="both"/>
      </w:pPr>
      <w:r>
        <w:rPr>
          <w:rFonts w:ascii="Calibri" w:cs="Calibri" w:eastAsia="Calibri" w:hAnsi="Calibri"/>
          <w:b w:val="false"/>
          <w:bCs w:val="false"/>
          <w:i w:val="false"/>
          <w:iCs w:val="false"/>
          <w:color w:val="1A1A2E"/>
          <w:sz w:val="22"/>
          <w:szCs w:val="22"/>
        </w:rPr>
        <w:t xml:space="preserve">Google's researchers found that psychological safety was the foundational condition that enabled all other effectiveness factors. A team that lacks psychological safety cannot develop dependability (members won't admit mistakes), cannot achieve structure and clarity (members won't ask clarifying questions), and cannot find meaning or impact (members won't take the risks required to do meaningful work).</w:t>
      </w:r>
    </w:p>
    <w:p>
      <w:pPr>
        <w:spacing w:after="80" w:before="80"/>
        <w:jc w:val="both"/>
      </w:pPr>
      <w:r>
        <w:rPr>
          <w:rFonts w:ascii="Calibri" w:cs="Calibri" w:eastAsia="Calibri" w:hAnsi="Calibri"/>
          <w:b/>
          <w:bCs/>
          <w:color w:val="0F1F5C"/>
          <w:sz w:val="22"/>
          <w:szCs w:val="22"/>
        </w:rPr>
        <w:t xml:space="preserve">Key finding: </w:t>
      </w:r>
      <w:r>
        <w:rPr>
          <w:rFonts w:ascii="Calibri" w:cs="Calibri" w:eastAsia="Calibri" w:hAnsi="Calibri"/>
          <w:color w:val="1A1A2E"/>
          <w:sz w:val="22"/>
          <w:szCs w:val="22"/>
        </w:rPr>
        <w:t xml:space="preserve">Psychological safety was the single most important factor in determining team effectiveness across all 180 Google teams studied. Teams with high psychological safety were less likely to leave Google, more likely to leverage diverse ideas, and generated more revenue.</w:t>
      </w:r>
      <w:r>
        <w:rPr>
          <w:rStyle w:val="FootnoteReference"/>
        </w:rPr>
        <w:footnoteReference w:id="5"/>
      </w:r>
    </w:p>
    <w:p>
      <w:pPr>
        <w:pStyle w:val="Heading3"/>
        <w:spacing w:after="100" w:before="220"/>
      </w:pPr>
      <w:r>
        <w:rPr>
          <w:rFonts w:ascii="Calibri" w:cs="Calibri" w:eastAsia="Calibri" w:hAnsi="Calibri"/>
          <w:b/>
          <w:bCs/>
          <w:color w:val="9B1FBF"/>
          <w:sz w:val="24"/>
          <w:szCs w:val="24"/>
        </w:rPr>
        <w:t xml:space="preserve">BOOST! Pulse Adaptation for Small Employers</w:t>
      </w:r>
    </w:p>
    <w:p>
      <w:pPr>
        <w:spacing w:after="80" w:before="60"/>
        <w:jc w:val="both"/>
      </w:pPr>
      <w:r>
        <w:rPr>
          <w:rFonts w:ascii="Calibri" w:cs="Calibri" w:eastAsia="Calibri" w:hAnsi="Calibri"/>
          <w:b w:val="false"/>
          <w:bCs w:val="false"/>
          <w:i w:val="false"/>
          <w:iCs w:val="false"/>
          <w:color w:val="1A1A2E"/>
          <w:sz w:val="22"/>
          <w:szCs w:val="22"/>
        </w:rPr>
        <w:t xml:space="preserve">For small employers, Project Aristotle is especially relevant because small teams are more interdependent than large ones — a single person's behavior can define the psychological safety of the entire organization. BOOST! incorporates all five Aristotle factors as distinct modules, with Psychological Safety and Role Clarity treated as high-priority dimensions included in even the shortest pulse surveys.</w:t>
      </w:r>
    </w:p>
    <w:p>
      <w:pPr>
        <w:spacing w:after="80" w:before="40"/>
        <w:jc w:val="left"/>
      </w:pPr>
      <w:r>
        <w:rPr>
          <w:rFonts w:ascii="Calibri" w:cs="Calibri" w:eastAsia="Calibri" w:hAnsi="Calibri"/>
          <w:i/>
          <w:iCs/>
          <w:color w:val="666666"/>
          <w:sz w:val="18"/>
          <w:szCs w:val="18"/>
        </w:rPr>
        <w:t xml:space="preserve">Source: Google re:Work, "Guide: Understand team effectiveness" — rework.withgoogle.com/guides/understanding-team-effectiveness/</w:t>
      </w:r>
    </w:p>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2.4 Gallup Q12® Employee Engagement Survey</w:t>
      </w:r>
    </w:p>
    <w:p>
      <w:pPr>
        <w:spacing w:after="80" w:before="60"/>
        <w:jc w:val="both"/>
      </w:pPr>
      <w:r>
        <w:rPr>
          <w:rFonts w:ascii="Calibri" w:cs="Calibri" w:eastAsia="Calibri" w:hAnsi="Calibri"/>
          <w:b/>
          <w:bCs/>
          <w:color w:val="0F1F5C"/>
          <w:sz w:val="22"/>
          <w:szCs w:val="22"/>
        </w:rPr>
        <w:t xml:space="preserve">Developed by: </w:t>
      </w:r>
      <w:r>
        <w:rPr>
          <w:rFonts w:ascii="Calibri" w:cs="Calibri" w:eastAsia="Calibri" w:hAnsi="Calibri"/>
          <w:color w:val="1A1A2E"/>
          <w:sz w:val="22"/>
          <w:szCs w:val="22"/>
        </w:rPr>
        <w:t xml:space="preserve">Gallup, Inc. The Q12 was developed over several decades of Gallup research involving millions of employees across hundreds of industries and organizations globally. The questions are proprietary but have been extensively published and documented.</w:t>
      </w:r>
    </w:p>
    <w:p>
      <w:pPr>
        <w:spacing w:after="80" w:before="60"/>
        <w:jc w:val="both"/>
      </w:pPr>
      <w:r>
        <w:rPr>
          <w:rFonts w:ascii="Calibri" w:cs="Calibri" w:eastAsia="Calibri" w:hAnsi="Calibri"/>
          <w:b/>
          <w:bCs/>
          <w:color w:val="0F1F5C"/>
          <w:sz w:val="22"/>
          <w:szCs w:val="22"/>
        </w:rPr>
        <w:t xml:space="preserve">Primary source: </w:t>
      </w:r>
      <w:r>
        <w:rPr>
          <w:rFonts w:ascii="Calibri" w:cs="Calibri" w:eastAsia="Calibri" w:hAnsi="Calibri"/>
          <w:color w:val="1A1A2E"/>
          <w:sz w:val="22"/>
          <w:szCs w:val="22"/>
        </w:rPr>
        <w:t xml:space="preserve">gallup.com/workplace/356063/gallup-q12-employee-engagement-survey.aspx</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What It Measures</w:t>
      </w:r>
    </w:p>
    <w:p>
      <w:pPr>
        <w:spacing w:after="80" w:before="60"/>
        <w:jc w:val="both"/>
      </w:pPr>
      <w:r>
        <w:rPr>
          <w:rFonts w:ascii="Calibri" w:cs="Calibri" w:eastAsia="Calibri" w:hAnsi="Calibri"/>
          <w:b w:val="false"/>
          <w:bCs w:val="false"/>
          <w:i w:val="false"/>
          <w:iCs w:val="false"/>
          <w:color w:val="1A1A2E"/>
          <w:sz w:val="22"/>
          <w:szCs w:val="22"/>
        </w:rPr>
        <w:t xml:space="preserve">The Gallup Q12 is a 12-item survey that measures employee engagement — the degree to which employees are involved in, enthusiastic about, and committed to their work and workplace. Gallup's research shows that highly engaged teams have significantly better outcomes: 23% higher profitability, 18% higher productivity, 81% lower absenteeism, and 43% lower turnover.</w:t>
      </w:r>
    </w:p>
    <w:p>
      <w:pPr>
        <w:spacing w:after="80" w:before="60"/>
        <w:jc w:val="both"/>
      </w:pPr>
      <w:r>
        <w:rPr>
          <w:rFonts w:ascii="Calibri" w:cs="Calibri" w:eastAsia="Calibri" w:hAnsi="Calibri"/>
          <w:b w:val="false"/>
          <w:bCs w:val="false"/>
          <w:i w:val="false"/>
          <w:iCs w:val="false"/>
          <w:color w:val="1A1A2E"/>
          <w:sz w:val="22"/>
          <w:szCs w:val="22"/>
        </w:rPr>
        <w:t xml:space="preserve">The Q12 is organized around four levels of employee needs, functioning as a hierarchy where each level builds upon the previous:</w:t>
      </w:r>
    </w:p>
    <w:p>
      <w:pPr>
        <w:pStyle w:val="ListParagraph"/>
        <w:numPr>
          <w:ilvl w:val="0"/>
          <w:numId w:val="2"/>
        </w:numPr>
        <w:spacing w:after="40" w:before="40"/>
      </w:pPr>
      <w:r>
        <w:rPr>
          <w:rFonts w:ascii="Calibri" w:cs="Calibri" w:eastAsia="Calibri" w:hAnsi="Calibri"/>
          <w:color w:val="1A1A2E"/>
          <w:sz w:val="22"/>
          <w:szCs w:val="22"/>
        </w:rPr>
        <w:t xml:space="preserve">Level 1 — Basic Needs: Do I know what is expected of me? Do I have what I need to do my job? (Q1–Q2)</w:t>
      </w:r>
    </w:p>
    <w:p>
      <w:pPr>
        <w:pStyle w:val="ListParagraph"/>
        <w:numPr>
          <w:ilvl w:val="0"/>
          <w:numId w:val="2"/>
        </w:numPr>
        <w:spacing w:after="40" w:before="40"/>
      </w:pPr>
      <w:r>
        <w:rPr>
          <w:rFonts w:ascii="Calibri" w:cs="Calibri" w:eastAsia="Calibri" w:hAnsi="Calibri"/>
          <w:color w:val="1A1A2E"/>
          <w:sz w:val="22"/>
          <w:szCs w:val="22"/>
        </w:rPr>
        <w:t xml:space="preserve">Level 2 — Individual Contribution: Am I in a role where I can do my best work? Do I receive recognition? Does someone care about me? Is there a coach at work? (Q3–Q6)</w:t>
      </w:r>
    </w:p>
    <w:p>
      <w:pPr>
        <w:pStyle w:val="ListParagraph"/>
        <w:numPr>
          <w:ilvl w:val="0"/>
          <w:numId w:val="2"/>
        </w:numPr>
        <w:spacing w:after="40" w:before="40"/>
      </w:pPr>
      <w:r>
        <w:rPr>
          <w:rFonts w:ascii="Calibri" w:cs="Calibri" w:eastAsia="Calibri" w:hAnsi="Calibri"/>
          <w:color w:val="1A1A2E"/>
          <w:sz w:val="22"/>
          <w:szCs w:val="22"/>
        </w:rPr>
        <w:t xml:space="preserve">Level 3 — Teamwork: Are my opinions valued? Does the mission connect to my work? Are my colleagues committed to quality? Do I have a best friend at work? (Q7–Q10)</w:t>
      </w:r>
    </w:p>
    <w:p>
      <w:pPr>
        <w:pStyle w:val="ListParagraph"/>
        <w:numPr>
          <w:ilvl w:val="0"/>
          <w:numId w:val="2"/>
        </w:numPr>
        <w:spacing w:after="40" w:before="40"/>
      </w:pPr>
      <w:r>
        <w:rPr>
          <w:rFonts w:ascii="Calibri" w:cs="Calibri" w:eastAsia="Calibri" w:hAnsi="Calibri"/>
          <w:color w:val="1A1A2E"/>
          <w:sz w:val="22"/>
          <w:szCs w:val="22"/>
        </w:rPr>
        <w:t xml:space="preserve">Level 4 — Growth: Has someone talked to me about my progress? Have I had opportunities to learn and grow? (Q11–Q12)</w:t>
      </w:r>
    </w:p>
    <w:p>
      <w:pPr>
        <w:spacing w:after="80" w:before="80"/>
      </w:pPr>
      <w:r>
        <w:t xml:space="preserve"/>
      </w:r>
    </w:p>
    <w:p>
      <w:pPr>
        <w:spacing w:after="80" w:before="60"/>
        <w:jc w:val="both"/>
      </w:pPr>
      <w:r>
        <w:rPr>
          <w:rFonts w:ascii="Calibri" w:cs="Calibri" w:eastAsia="Calibri" w:hAnsi="Calibri"/>
          <w:b w:val="false"/>
          <w:bCs w:val="false"/>
          <w:i w:val="false"/>
          <w:iCs w:val="false"/>
          <w:color w:val="1A1A2E"/>
          <w:sz w:val="22"/>
          <w:szCs w:val="22"/>
        </w:rPr>
        <w:t xml:space="preserve">The 12 core Q12 questions (publicly documented), presented in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000"/>
      </w:tblGrid>
      <w:tr>
        <w:tc>
          <w:tcPr>
            <w:tcW w:type="dxa" w:w="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Q#</w:t>
            </w:r>
          </w:p>
        </w:tc>
        <w:tc>
          <w:tcPr>
            <w:tcW w:type="dxa" w:w="1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Level</w:t>
            </w:r>
          </w:p>
        </w:tc>
        <w:tc>
          <w:tcPr>
            <w:tcW w:type="dxa" w:w="70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Gallup Q12 Question (publicly documented)</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Q1</w:t>
            </w:r>
          </w:p>
        </w:tc>
        <w:tc>
          <w:tcPr>
            <w:tcW w:type="dxa" w:w="1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L1 — Basic Needs</w:t>
            </w:r>
          </w:p>
        </w:tc>
        <w:tc>
          <w:tcPr>
            <w:tcW w:type="dxa" w:w="7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know what is expected of me at work.</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Q2</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L1 — Basic Needs</w:t>
            </w:r>
          </w:p>
        </w:tc>
        <w:tc>
          <w:tcPr>
            <w:tcW w:type="dxa" w:w="7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have the materials and equipment I need to do my work right.</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Q3</w:t>
            </w:r>
          </w:p>
        </w:tc>
        <w:tc>
          <w:tcPr>
            <w:tcW w:type="dxa" w:w="1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L2 — Contribution</w:t>
            </w:r>
          </w:p>
        </w:tc>
        <w:tc>
          <w:tcPr>
            <w:tcW w:type="dxa" w:w="7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At work, I have the opportunity to do what I do best every day.</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Q4</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L2 — Contribution</w:t>
            </w:r>
          </w:p>
        </w:tc>
        <w:tc>
          <w:tcPr>
            <w:tcW w:type="dxa" w:w="7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 the last seven days, I have received recognition or praise for doing good work.</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Q5</w:t>
            </w:r>
          </w:p>
        </w:tc>
        <w:tc>
          <w:tcPr>
            <w:tcW w:type="dxa" w:w="1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L2 — Contribution</w:t>
            </w:r>
          </w:p>
        </w:tc>
        <w:tc>
          <w:tcPr>
            <w:tcW w:type="dxa" w:w="7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supervisor, or someone at work, seems to care about me as a person.</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Q6</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L2 — Contribution</w:t>
            </w:r>
          </w:p>
        </w:tc>
        <w:tc>
          <w:tcPr>
            <w:tcW w:type="dxa" w:w="7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There is someone at work who encourages my development.</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Q7</w:t>
            </w:r>
          </w:p>
        </w:tc>
        <w:tc>
          <w:tcPr>
            <w:tcW w:type="dxa" w:w="1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L3 — Teamwork</w:t>
            </w:r>
          </w:p>
        </w:tc>
        <w:tc>
          <w:tcPr>
            <w:tcW w:type="dxa" w:w="7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At work, my opinions seem to count.</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Q8</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L3 — Teamwork</w:t>
            </w:r>
          </w:p>
        </w:tc>
        <w:tc>
          <w:tcPr>
            <w:tcW w:type="dxa" w:w="7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The mission or purpose of my company makes me feel my job is important.</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Q9</w:t>
            </w:r>
          </w:p>
        </w:tc>
        <w:tc>
          <w:tcPr>
            <w:tcW w:type="dxa" w:w="1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L3 — Teamwork</w:t>
            </w:r>
          </w:p>
        </w:tc>
        <w:tc>
          <w:tcPr>
            <w:tcW w:type="dxa" w:w="7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associates or fellow employees are committed to doing quality work.</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Q10</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L3 — Teamwork</w:t>
            </w:r>
          </w:p>
        </w:tc>
        <w:tc>
          <w:tcPr>
            <w:tcW w:type="dxa" w:w="7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have a best friend at work.</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Q11</w:t>
            </w:r>
          </w:p>
        </w:tc>
        <w:tc>
          <w:tcPr>
            <w:tcW w:type="dxa" w:w="1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L4 — Growth</w:t>
            </w:r>
          </w:p>
        </w:tc>
        <w:tc>
          <w:tcPr>
            <w:tcW w:type="dxa" w:w="7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 the last six months, someone at work has talked to me about my progress.</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Q12</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L4 — Growth</w:t>
            </w:r>
          </w:p>
        </w:tc>
        <w:tc>
          <w:tcPr>
            <w:tcW w:type="dxa" w:w="7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This last year, I have had opportunities at work to learn and grow.</w:t>
            </w:r>
          </w:p>
        </w:tc>
      </w:tr>
    </w:tbl>
    <w:p>
      <w:pPr>
        <w:spacing w:after="80" w:before="80"/>
      </w:pPr>
      <w:r>
        <w:t xml:space="preserve"/>
      </w:r>
    </w:p>
    <w:p>
      <w:pPr>
        <w:spacing w:after="80" w:before="60"/>
      </w:pPr>
      <w:r>
        <w:rPr>
          <w:rFonts w:ascii="Calibri" w:cs="Calibri" w:eastAsia="Calibri" w:hAnsi="Calibri"/>
          <w:b/>
          <w:bCs/>
          <w:color w:val="0F1F5C"/>
          <w:sz w:val="20"/>
          <w:szCs w:val="20"/>
        </w:rPr>
        <w:t xml:space="preserve">Note: </w:t>
      </w:r>
      <w:r>
        <w:rPr>
          <w:rFonts w:ascii="Calibri" w:cs="Calibri" w:eastAsia="Calibri" w:hAnsi="Calibri"/>
          <w:i/>
          <w:iCs/>
          <w:color w:val="555555"/>
          <w:sz w:val="20"/>
          <w:szCs w:val="20"/>
        </w:rPr>
        <w:t xml:space="preserve">The Q12 questions listed above are as publicly documented by Gallup. Gallup has expanded the survey to Q12+ with four additional questions (Q13–Q16) covering respect, wellbeing, feedback, and brand integrity.</w:t>
      </w:r>
      <w:r>
        <w:rPr>
          <w:rStyle w:val="FootnoteReference"/>
        </w:rPr>
        <w:footnoteReference w:id="6"/>
      </w:r>
    </w:p>
    <w:p>
      <w:pPr>
        <w:pStyle w:val="Heading3"/>
        <w:spacing w:after="100" w:before="220"/>
      </w:pPr>
      <w:r>
        <w:rPr>
          <w:rFonts w:ascii="Calibri" w:cs="Calibri" w:eastAsia="Calibri" w:hAnsi="Calibri"/>
          <w:b/>
          <w:bCs/>
          <w:color w:val="9B1FBF"/>
          <w:sz w:val="24"/>
          <w:szCs w:val="24"/>
        </w:rPr>
        <w:t xml:space="preserve">BOOST! Pulse Adaptation for Small Employers</w:t>
      </w:r>
    </w:p>
    <w:p>
      <w:pPr>
        <w:spacing w:after="80" w:before="60"/>
        <w:jc w:val="both"/>
      </w:pPr>
      <w:r>
        <w:rPr>
          <w:rFonts w:ascii="Calibri" w:cs="Calibri" w:eastAsia="Calibri" w:hAnsi="Calibri"/>
          <w:b w:val="false"/>
          <w:bCs w:val="false"/>
          <w:i w:val="false"/>
          <w:iCs w:val="false"/>
          <w:color w:val="1A1A2E"/>
          <w:sz w:val="22"/>
          <w:szCs w:val="22"/>
        </w:rPr>
        <w:t xml:space="preserve">The Gallup Q12's Level 1 questions (basic needs: role clarity and resources) are especially important for small employers where informal management can leave employees unclear about expectations. BOOST! treats Q1 and Q2 analogs as the foundational modules that anchor every survey template. Q12 Level 4 growth questions are used in the quarterly and annual templates, appropriate for small organizations where learning and development is often informal but still meaningful.</w:t>
      </w:r>
    </w:p>
    <w:p>
      <w:pPr>
        <w:spacing w:after="80" w:before="40"/>
        <w:jc w:val="left"/>
      </w:pPr>
      <w:r>
        <w:rPr>
          <w:rFonts w:ascii="Calibri" w:cs="Calibri" w:eastAsia="Calibri" w:hAnsi="Calibri"/>
          <w:i/>
          <w:iCs/>
          <w:color w:val="666666"/>
          <w:sz w:val="18"/>
          <w:szCs w:val="18"/>
        </w:rPr>
        <w:t xml:space="preserve">Source: Gallup, Inc. — gallup.com/workplace/356063/gallup-q12-employee-engagement-survey.aspx</w:t>
      </w:r>
    </w:p>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2.5 Amy Edmondson — Team Psychological Safety Scale</w:t>
      </w:r>
    </w:p>
    <w:p>
      <w:pPr>
        <w:spacing w:after="80" w:before="60"/>
        <w:jc w:val="both"/>
      </w:pPr>
      <w:r>
        <w:rPr>
          <w:rFonts w:ascii="Calibri" w:cs="Calibri" w:eastAsia="Calibri" w:hAnsi="Calibri"/>
          <w:b/>
          <w:bCs/>
          <w:color w:val="0F1F5C"/>
          <w:sz w:val="22"/>
          <w:szCs w:val="22"/>
        </w:rPr>
        <w:t xml:space="preserve">Developed by: </w:t>
      </w:r>
      <w:r>
        <w:rPr>
          <w:rFonts w:ascii="Calibri" w:cs="Calibri" w:eastAsia="Calibri" w:hAnsi="Calibri"/>
          <w:color w:val="1A1A2E"/>
          <w:sz w:val="22"/>
          <w:szCs w:val="22"/>
        </w:rPr>
        <w:t xml:space="preserve">Amy C. Edmondson, Novartis Professor of Leadership and Management, Harvard Business School. Original 7-item scale published in 1999; expanded through follow-up research published in "The Fearless Organization" (Wiley, 2018).</w:t>
      </w:r>
    </w:p>
    <w:p>
      <w:pPr>
        <w:spacing w:after="80" w:before="60"/>
        <w:jc w:val="both"/>
      </w:pPr>
      <w:r>
        <w:rPr>
          <w:rFonts w:ascii="Calibri" w:cs="Calibri" w:eastAsia="Calibri" w:hAnsi="Calibri"/>
          <w:b/>
          <w:bCs/>
          <w:color w:val="0F1F5C"/>
          <w:sz w:val="22"/>
          <w:szCs w:val="22"/>
        </w:rPr>
        <w:t xml:space="preserve">Primary source: </w:t>
      </w:r>
      <w:r>
        <w:rPr>
          <w:rFonts w:ascii="Calibri" w:cs="Calibri" w:eastAsia="Calibri" w:hAnsi="Calibri"/>
          <w:color w:val="1A1A2E"/>
          <w:sz w:val="22"/>
          <w:szCs w:val="22"/>
        </w:rPr>
        <w:t xml:space="preserve">hbs.edu/faculty/Pages/item.aspx?num=2959 | hbs.edu/faculty/Pages/item.aspx?num=46482</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Definition and Research Basis</w:t>
      </w:r>
    </w:p>
    <w:p>
      <w:pPr>
        <w:spacing w:after="80" w:before="60"/>
        <w:jc w:val="both"/>
      </w:pPr>
      <w:r>
        <w:rPr>
          <w:rFonts w:ascii="Calibri" w:cs="Calibri" w:eastAsia="Calibri" w:hAnsi="Calibri"/>
          <w:b w:val="false"/>
          <w:bCs w:val="false"/>
          <w:i w:val="false"/>
          <w:iCs w:val="false"/>
          <w:color w:val="1A1A2E"/>
          <w:sz w:val="22"/>
          <w:szCs w:val="22"/>
        </w:rPr>
        <w:t xml:space="preserve">Amy Edmondson defined psychological safety as "a shared belief held by members of a team that the team is safe for interpersonal risk taking" (Administrative Science Quarterly, 1999). The construct is a team-level, not individual-level, phenomenon: it reflects what team members collectively believe about the consequences of speaking up, asking for help, admitting mistakes, or offering new ideas.</w:t>
      </w:r>
    </w:p>
    <w:p>
      <w:pPr>
        <w:spacing w:after="80" w:before="60"/>
        <w:jc w:val="both"/>
      </w:pPr>
      <w:r>
        <w:rPr>
          <w:rFonts w:ascii="Calibri" w:cs="Calibri" w:eastAsia="Calibri" w:hAnsi="Calibri"/>
          <w:b w:val="false"/>
          <w:bCs w:val="false"/>
          <w:i w:val="false"/>
          <w:iCs w:val="false"/>
          <w:color w:val="1A1A2E"/>
          <w:sz w:val="22"/>
          <w:szCs w:val="22"/>
        </w:rPr>
        <w:t xml:space="preserve">Edmondson's original 1999 study of 51 work teams found a counterintuitive result that launched the modern research program: high-performing medical teams reported more medication errors, not fewer — because psychological safety made them willing to surface and discuss problems rather than suppress them. This finding established that psychological safety is a prerequisite for learning, innovation, and quality improvement.</w:t>
      </w:r>
    </w:p>
    <w:p>
      <w:pPr>
        <w:spacing w:after="80" w:before="60"/>
        <w:jc w:val="both"/>
      </w:pPr>
      <w:r>
        <w:rPr>
          <w:rFonts w:ascii="Calibri" w:cs="Calibri" w:eastAsia="Calibri" w:hAnsi="Calibri"/>
          <w:b w:val="false"/>
          <w:bCs w:val="false"/>
          <w:i w:val="false"/>
          <w:iCs w:val="false"/>
          <w:color w:val="1A1A2E"/>
          <w:sz w:val="22"/>
          <w:szCs w:val="22"/>
        </w:rPr>
        <w:t xml:space="preserve">A 2017 meta-analysis by Newman, Donohue, and Eva (Human Resource Management Review), aggregating 136 empirical studies, found that psychological safety reliably predicted learning behavior, performance, creativity, voice behavior, and team innovation, with effect sizes ranging from r = 0.21 to r = 0.37.</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The 7-Item Psychological Safety Scale</w:t>
      </w:r>
    </w:p>
    <w:p>
      <w:pPr>
        <w:spacing w:after="80" w:before="60"/>
        <w:jc w:val="both"/>
      </w:pPr>
      <w:r>
        <w:rPr>
          <w:rFonts w:ascii="Calibri" w:cs="Calibri" w:eastAsia="Calibri" w:hAnsi="Calibri"/>
          <w:b w:val="false"/>
          <w:bCs w:val="false"/>
          <w:i w:val="false"/>
          <w:iCs w:val="false"/>
          <w:color w:val="1A1A2E"/>
          <w:sz w:val="22"/>
          <w:szCs w:val="22"/>
        </w:rPr>
        <w:t xml:space="preserve">The following 7 items constitute Edmondson's validated Team Psychological Safety Scale (1999), widely recognized as the standard instrument for measuring psychological safety at the team level. Items 1, 3, and 5 are reverse-scored.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800"/>
        <w:gridCol w:w="1600"/>
      </w:tblGrid>
      <w:tr>
        <w:tc>
          <w:tcPr>
            <w:tcW w:type="dxa" w:w="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8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 (Edmondson 1999)</w:t>
            </w:r>
          </w:p>
        </w:tc>
        <w:tc>
          <w:tcPr>
            <w:tcW w:type="dxa" w:w="1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Scoring</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If you make a mistake on this team, it is often held against you.</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Reverse-scored</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Members of this team are able to bring up problems and tough issues.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Forward</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People on this team sometimes reject others for being different.</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Reverse-scored</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It is safe to take a risk on this team.</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Forward</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It is difficult to ask other members of this team for help.</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Reverse-scored</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6</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 one on this team would deliberately act in a way that undermines my efforts.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Forward</w:t>
            </w:r>
          </w:p>
        </w:tc>
      </w:tr>
      <w:tr>
        <w:tc>
          <w:tcPr>
            <w:tcW w:type="dxa" w:w="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7</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Working with members of this team, my unique skills and talents are valued and utilized.</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Forward</w:t>
            </w:r>
          </w:p>
        </w:tc>
      </w:tr>
    </w:tbl>
    <w:p>
      <w:pPr>
        <w:spacing w:after="80" w:before="80"/>
      </w:pPr>
      <w:r>
        <w:t xml:space="preserve"/>
      </w:r>
    </w:p>
    <w:p>
      <w:pPr>
        <w:spacing w:after="80" w:before="80"/>
        <w:jc w:val="both"/>
      </w:pPr>
      <w:r>
        <w:rPr>
          <w:rFonts w:ascii="Calibri" w:cs="Calibri" w:eastAsia="Calibri" w:hAnsi="Calibri"/>
          <w:b/>
          <w:bCs/>
          <w:color w:val="0F1F5C"/>
          <w:sz w:val="22"/>
          <w:szCs w:val="22"/>
        </w:rPr>
        <w:t xml:space="preserve">Interpretation: </w:t>
      </w:r>
      <w:r>
        <w:rPr>
          <w:rFonts w:ascii="Calibri" w:cs="Calibri" w:eastAsia="Calibri" w:hAnsi="Calibri"/>
          <w:color w:val="1A1A2E"/>
          <w:sz w:val="22"/>
          <w:szCs w:val="22"/>
        </w:rPr>
        <w:t xml:space="preserve">High psychological safety = mean score ≥ 4.0 (on a 5-point scale) | Moderate = ~3.0–3.9 | Low = &lt; 3.0. Team-level scores below 3.0 represent structural risk for both performance and retention.</w:t>
      </w:r>
      <w:r>
        <w:rPr>
          <w:rStyle w:val="FootnoteReference"/>
        </w:rPr>
        <w:footnoteReference w:id="9"/>
      </w:r>
    </w:p>
    <w:p>
      <w:pPr>
        <w:pStyle w:val="Heading3"/>
        <w:spacing w:after="100" w:before="220"/>
      </w:pPr>
      <w:r>
        <w:rPr>
          <w:rFonts w:ascii="Calibri" w:cs="Calibri" w:eastAsia="Calibri" w:hAnsi="Calibri"/>
          <w:b/>
          <w:bCs/>
          <w:color w:val="9B1FBF"/>
          <w:sz w:val="24"/>
          <w:szCs w:val="24"/>
        </w:rPr>
        <w:t xml:space="preserve">Why Psychological Safety Matters Especially for Small Employers</w:t>
      </w:r>
    </w:p>
    <w:p>
      <w:pPr>
        <w:spacing w:after="80" w:before="60"/>
        <w:jc w:val="both"/>
      </w:pPr>
      <w:r>
        <w:rPr>
          <w:rFonts w:ascii="Calibri" w:cs="Calibri" w:eastAsia="Calibri" w:hAnsi="Calibri"/>
          <w:b w:val="false"/>
          <w:bCs w:val="false"/>
          <w:i w:val="false"/>
          <w:iCs w:val="false"/>
          <w:color w:val="1A1A2E"/>
          <w:sz w:val="22"/>
          <w:szCs w:val="22"/>
        </w:rPr>
        <w:t xml:space="preserve">In organizations with ≤100 employees, the psychological climate of a small team has outsized impact. There is no "averaging out" across large departments. A single leader who punishes mistakes will suppress voice across the entire organization. BOOST! treats psychological safety as a foundational module — always included in Quick Pulse templates — because its absence signals risk that cannot be addressed by any other organizational intervention.</w:t>
      </w:r>
    </w:p>
    <w:p>
      <w:pPr>
        <w:spacing w:after="80" w:before="80"/>
        <w:jc w:val="both"/>
      </w:pPr>
      <w:r>
        <w:rPr>
          <w:rFonts w:ascii="Calibri" w:cs="Calibri" w:eastAsia="Calibri" w:hAnsi="Calibri"/>
          <w:b/>
          <w:bCs/>
          <w:color w:val="0F1F5C"/>
          <w:sz w:val="22"/>
          <w:szCs w:val="22"/>
        </w:rPr>
        <w:t xml:space="preserve">Key insight (Edmondson 2018): </w:t>
      </w:r>
      <w:r>
        <w:rPr>
          <w:rFonts w:ascii="Calibri" w:cs="Calibri" w:eastAsia="Calibri" w:hAnsi="Calibri"/>
          <w:color w:val="1A1A2E"/>
          <w:sz w:val="22"/>
          <w:szCs w:val="22"/>
        </w:rPr>
        <w:t xml:space="preserve">Psychological safety is not the absence of accountability. Edmondson's 2×2 framework shows that only the combination of high psychological safety AND high accountability produces a "Learning Zone" — the condition required for innovation and sustained performance.</w:t>
      </w:r>
      <w:r>
        <w:rPr>
          <w:rStyle w:val="FootnoteReference"/>
        </w:rPr>
        <w:footnoteReference w:id="8"/>
      </w:r>
    </w:p>
    <w:p>
      <w:pPr>
        <w:spacing w:after="80" w:before="40"/>
        <w:jc w:val="left"/>
      </w:pPr>
      <w:r>
        <w:rPr>
          <w:rFonts w:ascii="Calibri" w:cs="Calibri" w:eastAsia="Calibri" w:hAnsi="Calibri"/>
          <w:i/>
          <w:iCs/>
          <w:color w:val="666666"/>
          <w:sz w:val="18"/>
          <w:szCs w:val="18"/>
        </w:rPr>
        <w:t xml:space="preserve">Source: Edmondson, A. (1999). Administrative Science Quarterly 44(2):350–383. | Edmondson, A. (2018). The Fearless Organization. Wiley.</w:t>
      </w:r>
    </w:p>
    <w:p>
      <w:r>
        <w:br w:type="page"/>
      </w:r>
    </w:p>
    <w:p>
      <w:pPr>
        <w:pStyle w:val="Heading1"/>
        <w:spacing w:after="180" w:before="360"/>
      </w:pPr>
      <w:r>
        <w:rPr>
          <w:rFonts w:ascii="Calibri" w:cs="Calibri" w:eastAsia="Calibri" w:hAnsi="Calibri"/>
          <w:b/>
          <w:bCs/>
          <w:color w:val="0F1F5C"/>
          <w:sz w:val="36"/>
          <w:szCs w:val="36"/>
        </w:rPr>
        <w:t xml:space="preserve">Section 3: Survey Dimension Master List</w:t>
      </w:r>
    </w:p>
    <w:p>
      <w:pPr>
        <w:spacing w:after="80" w:before="60"/>
        <w:jc w:val="both"/>
      </w:pPr>
      <w:r>
        <w:rPr>
          <w:rFonts w:ascii="Calibri" w:cs="Calibri" w:eastAsia="Calibri" w:hAnsi="Calibri"/>
          <w:b w:val="false"/>
          <w:bCs w:val="false"/>
          <w:i w:val="false"/>
          <w:iCs w:val="false"/>
          <w:color w:val="1A1A2E"/>
          <w:sz w:val="22"/>
          <w:szCs w:val="22"/>
        </w:rPr>
        <w:t xml:space="preserve">The following table consolidates all dimensions across the five research frameworks, de-duplicated and rationalized for BOOST! Pulse. Each dimension is assigned to a BOOST! Module that maps to the platform's survey_dimensions table. Together, these 15 dimensions form the complete taxonomy of employee experience measurements available in the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900"/>
        <w:gridCol w:w="2760"/>
      </w:tblGrid>
      <w:tr>
        <w:tc>
          <w:tcPr>
            <w:tcW w:type="dxa" w:w="17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Dimension Name</w:t>
            </w:r>
          </w:p>
        </w:tc>
        <w:tc>
          <w:tcPr>
            <w:tcW w:type="dxa" w:w="20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Definition</w:t>
            </w:r>
          </w:p>
        </w:tc>
        <w:tc>
          <w:tcPr>
            <w:tcW w:type="dxa" w:w="2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Source Framework(s)</w:t>
            </w:r>
          </w:p>
        </w:tc>
        <w:tc>
          <w:tcPr>
            <w:tcW w:type="dxa" w:w="276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BOOST! Module</w:t>
            </w:r>
          </w:p>
        </w:tc>
      </w:tr>
      <w:tr>
        <w:tc>
          <w:tcPr>
            <w:tcW w:type="dxa" w:w="17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Psychological Safety</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feel safe to speak up, admit mistakes, ask for help, and take interpersonal risks without fear of punishment or ridicule.</w:t>
            </w:r>
          </w:p>
        </w:tc>
        <w:tc>
          <w:tcPr>
            <w:tcW w:type="dxa" w:w="2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Edmondson (1999) + Google Project Aristotle #1</w:t>
            </w:r>
          </w:p>
        </w:tc>
        <w:tc>
          <w:tcPr>
            <w:tcW w:type="dxa" w:w="276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Psychological Safety</w:t>
            </w:r>
          </w:p>
        </w:tc>
      </w:tr>
      <w:tr>
        <w:tc>
          <w:tcPr>
            <w:tcW w:type="dxa" w:w="1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Manager Effectiveness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experience their direct manager as competent, trustworthy, caring, and growth-oriented.</w:t>
            </w:r>
          </w:p>
        </w:tc>
        <w:tc>
          <w:tcPr>
            <w:tcW w:type="dxa" w:w="2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GPTW Credibility + Respect + Gallup Q5–Q6</w:t>
            </w:r>
          </w:p>
        </w:tc>
        <w:tc>
          <w:tcPr>
            <w:tcW w:type="dxa" w:w="2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Manager Effectiveness</w:t>
            </w:r>
          </w:p>
        </w:tc>
      </w:tr>
      <w:tr>
        <w:tc>
          <w:tcPr>
            <w:tcW w:type="dxa" w:w="17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Purpose &amp; Meaning</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understand how their work connects to the organization's mission and feel their work matters.</w:t>
            </w:r>
          </w:p>
        </w:tc>
        <w:tc>
          <w:tcPr>
            <w:tcW w:type="dxa" w:w="2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Google Aristotle #4 (Meaning) + Gallup Q8 + Best Nonprofits key driver</w:t>
            </w:r>
          </w:p>
        </w:tc>
        <w:tc>
          <w:tcPr>
            <w:tcW w:type="dxa" w:w="276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Purpose &amp; Mission</w:t>
            </w:r>
          </w:p>
        </w:tc>
      </w:tr>
      <w:tr>
        <w:tc>
          <w:tcPr>
            <w:tcW w:type="dxa" w:w="1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Fairness &amp; Equity</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believe compensation, promotions, and recognition are distributed fairly and without favoritism or discrimination.</w:t>
            </w:r>
          </w:p>
        </w:tc>
        <w:tc>
          <w:tcPr>
            <w:tcW w:type="dxa" w:w="2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GPTW Fairness</w:t>
            </w:r>
          </w:p>
        </w:tc>
        <w:tc>
          <w:tcPr>
            <w:tcW w:type="dxa" w:w="2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Fairness &amp; Equity</w:t>
            </w:r>
          </w:p>
        </w:tc>
      </w:tr>
      <w:tr>
        <w:tc>
          <w:tcPr>
            <w:tcW w:type="dxa" w:w="17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Peer Relationships</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experience genuine, supportive, and enjoyable relationships with their coworkers.</w:t>
            </w:r>
          </w:p>
        </w:tc>
        <w:tc>
          <w:tcPr>
            <w:tcW w:type="dxa" w:w="2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GPTW Camaraderie + Gallup Q9–Q10</w:t>
            </w:r>
          </w:p>
        </w:tc>
        <w:tc>
          <w:tcPr>
            <w:tcW w:type="dxa" w:w="276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Peer Relationships</w:t>
            </w:r>
          </w:p>
        </w:tc>
      </w:tr>
      <w:tr>
        <w:tc>
          <w:tcPr>
            <w:tcW w:type="dxa" w:w="1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Learning &amp; Growth</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have opportunities to learn new skills, develop professionally, and advance their careers.</w:t>
            </w:r>
          </w:p>
        </w:tc>
        <w:tc>
          <w:tcPr>
            <w:tcW w:type="dxa" w:w="2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Gallup Q11–Q12 + GPTW Respect (development sub-dimension)</w:t>
            </w:r>
          </w:p>
        </w:tc>
        <w:tc>
          <w:tcPr>
            <w:tcW w:type="dxa" w:w="2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Learning &amp; Growth</w:t>
            </w:r>
          </w:p>
        </w:tc>
      </w:tr>
      <w:tr>
        <w:tc>
          <w:tcPr>
            <w:tcW w:type="dxa" w:w="17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Role Clarity</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clearly understand what is expected of them and how their performance will be evaluated.</w:t>
            </w:r>
          </w:p>
        </w:tc>
        <w:tc>
          <w:tcPr>
            <w:tcW w:type="dxa" w:w="2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Google Aristotle #3 (Structure &amp; Clarity) + Gallup Q1</w:t>
            </w:r>
          </w:p>
        </w:tc>
        <w:tc>
          <w:tcPr>
            <w:tcW w:type="dxa" w:w="276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Role Clarity</w:t>
            </w:r>
          </w:p>
        </w:tc>
      </w:tr>
      <w:tr>
        <w:tc>
          <w:tcPr>
            <w:tcW w:type="dxa" w:w="1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Recognition</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feel their contributions are acknowledged and valued in ways that are meaningful to them.</w:t>
            </w:r>
          </w:p>
        </w:tc>
        <w:tc>
          <w:tcPr>
            <w:tcW w:type="dxa" w:w="2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GPTW Respect (appreciation sub-dimension) + Gallup Q4</w:t>
            </w:r>
          </w:p>
        </w:tc>
        <w:tc>
          <w:tcPr>
            <w:tcW w:type="dxa" w:w="2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Recognition</w:t>
            </w:r>
          </w:p>
        </w:tc>
      </w:tr>
      <w:tr>
        <w:tc>
          <w:tcPr>
            <w:tcW w:type="dxa" w:w="17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Work-Life Balance</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feel the organization respects their time, energy, and life outside of work.</w:t>
            </w:r>
          </w:p>
        </w:tc>
        <w:tc>
          <w:tcPr>
            <w:tcW w:type="dxa" w:w="2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GPTW Respect (care sub-dimension) + Best Nonprofits flexibility driver</w:t>
            </w:r>
          </w:p>
        </w:tc>
        <w:tc>
          <w:tcPr>
            <w:tcW w:type="dxa" w:w="276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Work-Life Balance</w:t>
            </w:r>
          </w:p>
        </w:tc>
      </w:tr>
      <w:tr>
        <w:tc>
          <w:tcPr>
            <w:tcW w:type="dxa" w:w="1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DEI &amp; Inclusion</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experience a workplace that is inclusive, free of discrimination, and welcoming of different identities and backgrounds.</w:t>
            </w:r>
          </w:p>
        </w:tc>
        <w:tc>
          <w:tcPr>
            <w:tcW w:type="dxa" w:w="2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GPTW Fairness (impartiality + justice sub-dimensions) + Camaraderie (community sub-dimension)</w:t>
            </w:r>
          </w:p>
        </w:tc>
        <w:tc>
          <w:tcPr>
            <w:tcW w:type="dxa" w:w="2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Inclusion &amp; Belonging</w:t>
            </w:r>
          </w:p>
        </w:tc>
      </w:tr>
      <w:tr>
        <w:tc>
          <w:tcPr>
            <w:tcW w:type="dxa" w:w="17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Communication</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experience open, honest, and timely two-way communication from leadership.</w:t>
            </w:r>
          </w:p>
        </w:tc>
        <w:tc>
          <w:tcPr>
            <w:tcW w:type="dxa" w:w="2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GPTW Credibility (communication + integrity sub-dimensions)</w:t>
            </w:r>
          </w:p>
        </w:tc>
        <w:tc>
          <w:tcPr>
            <w:tcW w:type="dxa" w:w="276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Communication</w:t>
            </w:r>
          </w:p>
        </w:tc>
      </w:tr>
      <w:tr>
        <w:tc>
          <w:tcPr>
            <w:tcW w:type="dxa" w:w="1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Accountability &amp; Dependability</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Team members reliably follow through on commitments; the organization holds itself to stated standards.</w:t>
            </w:r>
          </w:p>
        </w:tc>
        <w:tc>
          <w:tcPr>
            <w:tcW w:type="dxa" w:w="2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Google Aristotle #2 (Dependability) + Gallup Q9</w:t>
            </w:r>
          </w:p>
        </w:tc>
        <w:tc>
          <w:tcPr>
            <w:tcW w:type="dxa" w:w="2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Accountability</w:t>
            </w:r>
          </w:p>
        </w:tc>
      </w:tr>
      <w:tr>
        <w:tc>
          <w:tcPr>
            <w:tcW w:type="dxa" w:w="17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Organizational Pride</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feel proud of their organization's reputation, values, and impact on the community.</w:t>
            </w:r>
          </w:p>
        </w:tc>
        <w:tc>
          <w:tcPr>
            <w:tcW w:type="dxa" w:w="2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GPTW Pride (corporate image + team sub-dimensions)</w:t>
            </w:r>
          </w:p>
        </w:tc>
        <w:tc>
          <w:tcPr>
            <w:tcW w:type="dxa" w:w="276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Organizational Pride</w:t>
            </w:r>
          </w:p>
        </w:tc>
      </w:tr>
      <w:tr>
        <w:tc>
          <w:tcPr>
            <w:tcW w:type="dxa" w:w="1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Impact &amp; Contribution</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can see how their work makes a difference and contributes to outcomes that matter.</w:t>
            </w:r>
          </w:p>
        </w:tc>
        <w:tc>
          <w:tcPr>
            <w:tcW w:type="dxa" w:w="2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Google Aristotle #5 (Impact) + GPTW Pride (personal job sub-dimension)</w:t>
            </w:r>
          </w:p>
        </w:tc>
        <w:tc>
          <w:tcPr>
            <w:tcW w:type="dxa" w:w="2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Impact &amp; Contribution</w:t>
            </w:r>
          </w:p>
        </w:tc>
      </w:tr>
      <w:tr>
        <w:tc>
          <w:tcPr>
            <w:tcW w:type="dxa" w:w="17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Resources &amp; Support</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have the tools, information, and organizational support needed to do their jobs effectively.</w:t>
            </w:r>
          </w:p>
        </w:tc>
        <w:tc>
          <w:tcPr>
            <w:tcW w:type="dxa" w:w="2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Gallup Q2 + GPTW Respect (support sub-dimension)</w:t>
            </w:r>
          </w:p>
        </w:tc>
        <w:tc>
          <w:tcPr>
            <w:tcW w:type="dxa" w:w="276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Resources &amp; Support</w:t>
            </w:r>
          </w:p>
        </w:tc>
      </w:tr>
    </w:tbl>
    <w:p>
      <w:pPr>
        <w:spacing w:after="120" w:before="120"/>
      </w:pPr>
      <w:r>
        <w:t xml:space="preserve"/>
      </w:r>
    </w:p>
    <w:p>
      <w:pPr>
        <w:spacing w:after="80" w:before="60"/>
        <w:jc w:val="both"/>
      </w:pPr>
      <w:r>
        <w:rPr>
          <w:rFonts w:ascii="Calibri" w:cs="Calibri" w:eastAsia="Calibri" w:hAnsi="Calibri"/>
          <w:b w:val="false"/>
          <w:bCs w:val="false"/>
          <w:i/>
          <w:iCs/>
          <w:color w:val="1A1A2E"/>
          <w:sz w:val="22"/>
          <w:szCs w:val="22"/>
        </w:rPr>
        <w:t xml:space="preserve">Total: 15 dimensions | 5 source frameworks | Covers all major validated domains of employee engagement and team effectiveness.</w:t>
      </w:r>
    </w:p>
    <w:p>
      <w:r>
        <w:br w:type="page"/>
      </w:r>
    </w:p>
    <w:p>
      <w:pPr>
        <w:pStyle w:val="Heading1"/>
        <w:spacing w:after="180" w:before="360"/>
      </w:pPr>
      <w:r>
        <w:rPr>
          <w:rFonts w:ascii="Calibri" w:cs="Calibri" w:eastAsia="Calibri" w:hAnsi="Calibri"/>
          <w:b/>
          <w:bCs/>
          <w:color w:val="0F1F5C"/>
          <w:sz w:val="36"/>
          <w:szCs w:val="36"/>
        </w:rPr>
        <w:t xml:space="preserve">Section 4: Base Question Bank by Dimension</w:t>
      </w:r>
    </w:p>
    <w:p>
      <w:pPr>
        <w:spacing w:after="80" w:before="60"/>
        <w:jc w:val="both"/>
      </w:pPr>
      <w:r>
        <w:rPr>
          <w:rFonts w:ascii="Calibri" w:cs="Calibri" w:eastAsia="Calibri" w:hAnsi="Calibri"/>
          <w:b w:val="false"/>
          <w:bCs w:val="false"/>
          <w:i w:val="false"/>
          <w:iCs w:val="false"/>
          <w:color w:val="1A1A2E"/>
          <w:sz w:val="22"/>
          <w:szCs w:val="22"/>
        </w:rPr>
        <w:t xml:space="preserve">All questions below are original items inspired by but not copied verbatim from the validated frameworks, to respect intellectual property. Each question is written for employers with ≤100 employees, phrased neutrally, and designed to take under 30 seconds to answer. Unless otherwise noted, the response scale is 1–5 Likert (1 = Strongly Disagree, 5 = Strongly Agree).</w:t>
      </w:r>
    </w:p>
    <w:p>
      <w:pPr>
        <w:spacing w:after="60" w:before="60"/>
      </w:pPr>
      <w:r>
        <w:t xml:space="preserve"/>
      </w:r>
    </w:p>
    <w:p>
      <w:pPr>
        <w:shd w:fill="F3E8FA" w:val="clear"/>
        <w:spacing w:after="60" w:before="240"/>
      </w:pPr>
      <w:r>
        <w:rPr>
          <w:rFonts w:ascii="Calibri" w:cs="Calibri" w:eastAsia="Calibri" w:hAnsi="Calibri"/>
          <w:b/>
          <w:bCs/>
          <w:color w:val="0F1F5C"/>
          <w:sz w:val="24"/>
          <w:szCs w:val="24"/>
        </w:rPr>
        <w:t xml:space="preserve">1. Psychological Safety</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Edmondson (1999) + Google Project Aristotle Factor #1</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comfortable raising concerns or problems with my team, even if others might disagree.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When I make a mistake at work, I am able to acknowledge it without worrying about serious negative consequences.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can ask for help from my colleagues without feeling it will reflect poorly on my competence.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People on my team are genuinely open to hearing different perspectives and viewpoints.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safe to try new approaches in my work, even if they might not succeed.</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6</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On a scale of 0–10, how likely are you to speak up about a problem you notice in this organization?</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0-10 NPS-style</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2. Manager Effectiveness</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GPTW Credibility + Respect + Gallup Q5–Q6</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manager clearly communicates what is expected of me and my role.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manager takes a genuine interest in my professional development and growth.</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manager treats me with respect and considers my perspective when making decisions.</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trust my manager to follow through on commitments they make to the team.</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manager provides feedback that helps me improve my performance.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6</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When there are challenges or concerns, my manager handles them fairly and constructively.</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3. Purpose &amp; Meaning</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Google Aristotle #4 (Meaning) + Gallup Q8 + Best Nonprofits Mission Driver</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The mission of this organization resonates with my personal values.</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understand how my daily work contributes to our organization's larger goals.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work here feels meaningful — it is more than just a paycheck.</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proud when I tell people what organization I work for.</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On a scale of 0–10, how strongly do you feel your role contributes to the mission of this organization?</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0-10 NPS-style</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4. Fairness &amp; Equity</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GPTW Fairness (Equity, Impartiality, Justice sub-dimensions)</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believe I am compensated fairly relative to the responsibilities of my role.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Opportunities for advancement in this organization are accessible to all employees, not just a select few.</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Leadership makes decisions about rewards and recognition based on merit, not favoritism.</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If I experienced unfair treatment at work, I would feel comfortable reporting it without fear of retaliation.</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People of all backgrounds are treated with equal respect and dignity in this organization.</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5. Peer Relationships</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GPTW Camaraderie + Gallup Q9–Q10</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genuinely enjoy working with the people on my team.</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colleagues treat each other with kindness and respect.</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like I belong here — I can be myself at work.</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When I need support, my colleagues are willing to help.</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There is a strong sense of teamwork and shared purpose among the people I work with.</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6. Learning &amp; Growth</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Gallup Q11–Q12 + GPTW Respect (professional development sub-dimension)</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 the past six months, I have had meaningful opportunities to learn new skills relevant to my role.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Someone in this organization has invested time in my professional development in the past year.</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This organization supports me in building the skills I need to advance in my career.</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regularly receive feedback that helps me understand how I am growing professionally.</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see a clear path forward for my career development within this organization.</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7. Role Clarity</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Google Aristotle #3 (Structure &amp; Clarity) + Gallup Q1</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have a clear understanding of what is expected of me in my role.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know how my performance will be evaluated and what success looks like in my position.</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When priorities change, I receive timely and clear guidance about how to adjust my work.</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responsibilities are well-defined — I rarely feel uncertain about what I should be working on.</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8. Recognition</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GPTW Respect (appreciation sub-dimension) + Gallup Q4</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receive acknowledgment for the quality of my work on a regular basis.</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When I go above and beyond, my contributions are recognized in a meaningful way.</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The recognition practices in this organization feel fair — high-performers are noticed and appreciated.</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that my specific skills and contributions are valued by my team and leadership.</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On a scale of 0–10, how well does this organization make you feel appreciated for your work?</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0-10 NPS-style</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9. Work-Life Balance</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GPTW Respect (caring sub-dimension) + Best Nonprofits flexibility driver</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This organization respects the boundaries between my work time and personal time.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am able to manage the demands of my job without it negatively affecting my personal life most of the time.</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Leadership models healthy work practices and discourages unnecessary overwork.</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have enough flexibility in how and when I work to meet both my job requirements and personal needs.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10. DEI &amp; Inclusion</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GPTW Fairness (impartiality + justice) + Camaraderie (community sub-dimension)</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genuinely included in team discussions and decision-making at this organization.</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This organization demonstrates a real commitment to creating a diverse and equitable workplace.</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have never experienced discrimination or exclusion here based on my identity or background.</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People with diverse perspectives and backgrounds are valued and heard in this organization.</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Leadership visibly champions inclusion in ways that go beyond stated policies.</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11. Communication</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GPTW Credibility (communication + integrity sub-dimensions)</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Leadership communicates honestly about the organization's performance, challenges, and direction.</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receive information I need to do my job effectively and in a timely manner.</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comfortable sharing my opinions and concerns with leadership.</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When leadership says they will do something, they follow through.</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This organization's communication feels transparent — I am not often surprised by decisions that affect me.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12. Accountability &amp; Dependability</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Google Aristotle #2 (Dependability) + Gallup Q9</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colleagues follow through on the commitments they make.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When someone on our team does not meet expectations, it is addressed appropriately.</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can count on my teammates to deliver quality work so that my own work is not compromised.</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This organization holds itself accountable when it falls short of its own stated values.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13. Organizational Pride</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GPTW Pride (corporate image + team sub-dimensions)</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am proud of the reputation this organization has in the community.</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good about the way this organization contributes to the people we serve.</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am proud to be a part of this team's accomplishments.</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On a scale of 0–10, how likely are you to recommend this organization as a great place to work to a friend or colleague?</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0-10 eNPS</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14. Impact &amp; Contribution</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Google Aristotle #5 (Impact) + GPTW Pride (personal job sub-dimension)</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can see how my work makes a meaningful difference for the people this organization serves.</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My contributions matter to the success of this team and organization.</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Most days, I leave work feeling that I accomplished something worthwhile.</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understand how the work I do connects to outcomes that are important to this organization.</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hd w:fill="F3E8FA" w:val="clear"/>
        <w:spacing w:after="60" w:before="240"/>
      </w:pPr>
      <w:r>
        <w:rPr>
          <w:rFonts w:ascii="Calibri" w:cs="Calibri" w:eastAsia="Calibri" w:hAnsi="Calibri"/>
          <w:b/>
          <w:bCs/>
          <w:color w:val="0F1F5C"/>
          <w:sz w:val="24"/>
          <w:szCs w:val="24"/>
        </w:rPr>
        <w:t xml:space="preserve">15. Resources &amp; Support</w:t>
      </w:r>
    </w:p>
    <w:p>
      <w:pPr>
        <w:spacing w:after="80" w:before="40"/>
      </w:pPr>
      <w:r>
        <w:rPr>
          <w:rFonts w:ascii="Calibri" w:cs="Calibri" w:eastAsia="Calibri" w:hAnsi="Calibri"/>
          <w:b/>
          <w:bCs/>
          <w:color w:val="9B1FBF"/>
          <w:sz w:val="20"/>
          <w:szCs w:val="20"/>
        </w:rPr>
        <w:t xml:space="preserve">Research basis: </w:t>
      </w:r>
      <w:r>
        <w:rPr>
          <w:rFonts w:ascii="Calibri" w:cs="Calibri" w:eastAsia="Calibri" w:hAnsi="Calibri"/>
          <w:i/>
          <w:iCs/>
          <w:color w:val="1A1A2E"/>
          <w:sz w:val="20"/>
          <w:szCs w:val="20"/>
        </w:rPr>
        <w:t xml:space="preserve">Gallup Q2 + GPTW Respect (support sub-dimension)</w:t>
      </w:r>
    </w:p>
    <w:p>
      <w:pPr>
        <w:spacing w:after="40" w:before="80"/>
      </w:pPr>
      <w:r>
        <w:rPr>
          <w:rFonts w:ascii="Calibri" w:cs="Calibri" w:eastAsia="Calibri" w:hAnsi="Calibri"/>
          <w:b/>
          <w:bCs/>
          <w:color w:val="0F1F5C"/>
          <w:sz w:val="22"/>
          <w:szCs w:val="22"/>
        </w:rPr>
        <w:t xml:space="preserve">Questions: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900"/>
      </w:tblGrid>
      <w:tr>
        <w:tc>
          <w:tcPr>
            <w:tcW w:type="dxa" w:w="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6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Survey Question</w:t>
            </w:r>
          </w:p>
        </w:tc>
        <w:tc>
          <w:tcPr>
            <w:tcW w:type="dxa" w:w="19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Scale</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have the tools, technology, and equipment I need to do my job effectively.</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When I face an obstacle at work, I know where to go to get the help I need.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w:t>
            </w:r>
          </w:p>
        </w:tc>
        <w:tc>
          <w:tcPr>
            <w:tcW w:type="dxa" w:w="6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This organization invests adequately in the resources its staff need to succeed.</w:t>
            </w:r>
          </w:p>
        </w:tc>
        <w:tc>
          <w:tcPr>
            <w:tcW w:type="dxa" w:w="19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w:t>
            </w:r>
          </w:p>
        </w:tc>
        <w:tc>
          <w:tcPr>
            <w:tcW w:type="dxa" w:w="6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supported by the organization when I encounter a challenge outside my normal responsibilities.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1-5 Likert</w:t>
            </w:r>
          </w:p>
        </w:tc>
      </w:tr>
    </w:tbl>
    <w:p>
      <w:pPr>
        <w:spacing w:after="100" w:before="100"/>
      </w:pPr>
      <w:r>
        <w:t xml:space="preserve"/>
      </w:r>
    </w:p>
    <w:p>
      <w:pPr>
        <w:spacing w:after="80" w:before="60"/>
        <w:jc w:val="both"/>
      </w:pPr>
      <w:r>
        <w:rPr>
          <w:rFonts w:ascii="Calibri" w:cs="Calibri" w:eastAsia="Calibri" w:hAnsi="Calibri"/>
          <w:b/>
          <w:bCs/>
          <w:i/>
          <w:iCs/>
          <w:color w:val="1A1A2E"/>
          <w:sz w:val="22"/>
          <w:szCs w:val="22"/>
        </w:rPr>
        <w:t xml:space="preserve">Total questions in base bank: 72 questions across 15 dimensions (minimum 4 per dimension, maximum 6).</w:t>
      </w:r>
    </w:p>
    <w:p>
      <w:r>
        <w:br w:type="page"/>
      </w:r>
    </w:p>
    <w:p>
      <w:pPr>
        <w:pStyle w:val="Heading1"/>
        <w:spacing w:after="180" w:before="360"/>
      </w:pPr>
      <w:r>
        <w:rPr>
          <w:rFonts w:ascii="Calibri" w:cs="Calibri" w:eastAsia="Calibri" w:hAnsi="Calibri"/>
          <w:b/>
          <w:bCs/>
          <w:color w:val="0F1F5C"/>
          <w:sz w:val="36"/>
          <w:szCs w:val="36"/>
        </w:rPr>
        <w:t xml:space="preserve">Section 5: Standard Survey Templates</w:t>
      </w:r>
    </w:p>
    <w:p>
      <w:pPr>
        <w:spacing w:after="80" w:before="60"/>
        <w:jc w:val="both"/>
      </w:pPr>
      <w:r>
        <w:rPr>
          <w:rFonts w:ascii="Calibri" w:cs="Calibri" w:eastAsia="Calibri" w:hAnsi="Calibri"/>
          <w:b w:val="false"/>
          <w:bCs w:val="false"/>
          <w:i w:val="false"/>
          <w:iCs w:val="false"/>
          <w:color w:val="1A1A2E"/>
          <w:sz w:val="22"/>
          <w:szCs w:val="22"/>
        </w:rPr>
        <w:t xml:space="preserve">BOOST! Pulse ships with three pre-built survey templates that combine dimensions into ready-to-deploy surveys for different cadences and use cases. All templates are seeded from the base question bank in Section 4 and can be customized by platform administrators.</w:t>
      </w:r>
    </w:p>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Template 1: Quick Pulse — "How Are We Doing?"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Template Attribute</w:t>
            </w:r>
          </w:p>
        </w:tc>
        <w:tc>
          <w:tcPr>
            <w:tcW w:type="dxa" w:w="68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Question Count</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10 questions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Dimensions Covered</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Psychological Safety, Manager Effectiveness, Purpose &amp; Meaning, Peer Relationships, Communication</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Includes eNPS?</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Yes — 1 eNPS question: "On a scale of 0–10, how likely are you to recommend this organization as a great place to work?"</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Cadence Recommendation</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Monthly or bi-monthly</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Best For</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Ongoing temperature check; identifying early warning signals before they become retention issues; tracking month-over-month trend on core engagement drivers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Estimated Completion Time</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3–5 minutes</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Open-Ended Questions</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 optional: "Is there anything else you'd like to share with leadership this month?" (always optional)</w:t>
            </w:r>
          </w:p>
        </w:tc>
      </w:tr>
    </w:tbl>
    <w:p>
      <w:pPr>
        <w:spacing w:after="80" w:before="80"/>
      </w:pPr>
      <w:r>
        <w:t xml:space="preserve"/>
      </w:r>
    </w:p>
    <w:p>
      <w:pPr>
        <w:pStyle w:val="Heading3"/>
        <w:spacing w:after="100" w:before="220"/>
      </w:pPr>
      <w:r>
        <w:rPr>
          <w:rFonts w:ascii="Calibri" w:cs="Calibri" w:eastAsia="Calibri" w:hAnsi="Calibri"/>
          <w:b/>
          <w:bCs/>
          <w:color w:val="9B1FBF"/>
          <w:sz w:val="24"/>
          <w:szCs w:val="24"/>
        </w:rPr>
        <w:t xml:space="preserve">Quick Pulse — Dimension Selection Rationale</w:t>
      </w:r>
    </w:p>
    <w:p>
      <w:pPr>
        <w:spacing w:after="80" w:before="60"/>
        <w:jc w:val="both"/>
      </w:pPr>
      <w:r>
        <w:rPr>
          <w:rFonts w:ascii="Calibri" w:cs="Calibri" w:eastAsia="Calibri" w:hAnsi="Calibri"/>
          <w:b w:val="false"/>
          <w:bCs w:val="false"/>
          <w:i w:val="false"/>
          <w:iCs w:val="false"/>
          <w:color w:val="1A1A2E"/>
          <w:sz w:val="22"/>
          <w:szCs w:val="22"/>
        </w:rPr>
        <w:t xml:space="preserve">The five dimensions in the Quick Pulse represent the highest-signal indicators for small employer health: Psychological Safety because its absence is a leading indicator of turnover and underperformance; Manager Effectiveness because direct manager quality drives more variance in engagement than any other organizational factor (Gallup); Purpose &amp; Meaning because mission alignment is the primary intrinsic motivator for nonprofit employees; Peer Relationships because they correlate most strongly with day-to-day job satisfaction; and Communication because information asymmetry is the most common source of employee dissatisfaction in small organizations.</w:t>
      </w:r>
    </w:p>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Template 2: Quarterly Engagement Survey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Template Attribute</w:t>
            </w:r>
          </w:p>
        </w:tc>
        <w:tc>
          <w:tcPr>
            <w:tcW w:type="dxa" w:w="68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Question Count</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28 questions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Dimensions Covered</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Psychological Safety, Manager Effectiveness, Purpose &amp; Meaning, Role Clarity, Recognition, Peer Relationships, Communication, Learning &amp; Growth, Work-Life Balance</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Includes eNPS?</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Yes — 1 eNPS question + 1 mission-alignment NPS question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Cadence Recommendation</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Quarterly (4× per year)</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Best For</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Trend analysis across quarters; identifying dimension-level patterns; preparing for board or leadership reports; benchmarking against prior period</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Estimated Completion Time</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8–12 minutes</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Open-Ended Questions</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2: (1) "What is one thing leadership could do to make this a better place to work?" (2) "What is one thing you appreciate most about working here?"</w:t>
            </w:r>
          </w:p>
        </w:tc>
      </w:tr>
    </w:tbl>
    <w:p>
      <w:pPr>
        <w:spacing w:after="80" w:before="80"/>
      </w:pPr>
      <w:r>
        <w:t xml:space="preserve"/>
      </w:r>
    </w:p>
    <w:p>
      <w:pPr>
        <w:pStyle w:val="Heading3"/>
        <w:spacing w:after="100" w:before="220"/>
      </w:pPr>
      <w:r>
        <w:rPr>
          <w:rFonts w:ascii="Calibri" w:cs="Calibri" w:eastAsia="Calibri" w:hAnsi="Calibri"/>
          <w:b/>
          <w:bCs/>
          <w:color w:val="9B1FBF"/>
          <w:sz w:val="24"/>
          <w:szCs w:val="24"/>
        </w:rPr>
        <w:t xml:space="preserve">Quarterly Survey — Cadence &amp; Trend Design</w:t>
      </w:r>
    </w:p>
    <w:p>
      <w:pPr>
        <w:spacing w:after="80" w:before="60"/>
        <w:jc w:val="both"/>
      </w:pPr>
      <w:r>
        <w:rPr>
          <w:rFonts w:ascii="Calibri" w:cs="Calibri" w:eastAsia="Calibri" w:hAnsi="Calibri"/>
          <w:b w:val="false"/>
          <w:bCs w:val="false"/>
          <w:i w:val="false"/>
          <w:iCs w:val="false"/>
          <w:color w:val="1A1A2E"/>
          <w:sz w:val="22"/>
          <w:szCs w:val="22"/>
        </w:rPr>
        <w:t xml:space="preserve">The Quarterly Engagement Survey is designed to be fielded in the same two-week window each quarter so that scores can be compared meaningfully across time periods. BOOST! will display a rolling 4-quarter trendline for each dimension, allowing leaders to see whether investments in specific areas (e.g., a new recognition program) correlate with score improvements in the following quarter. The two open-ended questions are analyzed via BOOST!'s sentiment tagging feature to surface recurring themes without requiring manual review.</w:t>
      </w:r>
    </w:p>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Template 3: Annual Culture Assessment (20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Template Attribute</w:t>
            </w:r>
          </w:p>
        </w:tc>
        <w:tc>
          <w:tcPr>
            <w:tcW w:type="dxa" w:w="68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bCs/>
                <w:color w:val="1A1A2E"/>
                <w:sz w:val="20"/>
                <w:szCs w:val="20"/>
              </w:rPr>
              <w:t xml:space="preserve">Question Count</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48 questions (4 per dimension × 12 dimensions + 4 items from 3 bonus dimensions)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Dimensions Covered</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All 15 dimensions from Section 3: Psychological Safety, Manager Effectiveness, Purpose &amp; Meaning, Fairness &amp; Equity, Peer Relationships, Learning &amp; Growth, Role Clarity, Recognition, Work-Life Balance, DEI &amp; Inclusion, Communication, Accountability, Organizational Pride, Impact &amp; Contribution, Resources &amp; Support</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Includes eNPS?</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Yes — eNPS (recommend as workplace), mission-alignment NPS, and satisfaction-with-compensation question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Cadence Recommendation</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Annual (1× per year, ideally same month each year)</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Best For</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Annual culture review; board reporting; preparation for GPTW Certification application; DEI baseline assessment; strategic workforce planning; identifying high-priority development areas for the coming year</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Estimated Completion Time</w:t>
            </w:r>
          </w:p>
        </w:tc>
        <w:tc>
          <w:tcPr>
            <w:tcW w:type="dxa" w:w="6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18–25 minutes</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Open-Ended Questions</w:t>
            </w:r>
          </w:p>
        </w:tc>
        <w:tc>
          <w:tcPr>
            <w:tcW w:type="dxa" w:w="6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 (1) What do we do especially well as an organization? (2) What is the one thing we should change or improve most urgently? (3) What would make you more likely to stay here long-term? (4) How well does leadership model our organization's stated values? (5) Anything else you would like to share?</w:t>
            </w:r>
          </w:p>
        </w:tc>
      </w:tr>
    </w:tbl>
    <w:p>
      <w:pPr>
        <w:spacing w:after="80" w:before="80"/>
      </w:pPr>
      <w:r>
        <w:t xml:space="preserve"/>
      </w:r>
    </w:p>
    <w:p>
      <w:pPr>
        <w:pStyle w:val="Heading3"/>
        <w:spacing w:after="100" w:before="220"/>
      </w:pPr>
      <w:r>
        <w:rPr>
          <w:rFonts w:ascii="Calibri" w:cs="Calibri" w:eastAsia="Calibri" w:hAnsi="Calibri"/>
          <w:b/>
          <w:bCs/>
          <w:color w:val="9B1FBF"/>
          <w:sz w:val="24"/>
          <w:szCs w:val="24"/>
        </w:rPr>
        <w:t xml:space="preserve">Annual Survey — GPTW Certification Alignment</w:t>
      </w:r>
    </w:p>
    <w:p>
      <w:pPr>
        <w:spacing w:after="80" w:before="60"/>
        <w:jc w:val="both"/>
      </w:pPr>
      <w:r>
        <w:rPr>
          <w:rFonts w:ascii="Calibri" w:cs="Calibri" w:eastAsia="Calibri" w:hAnsi="Calibri"/>
          <w:b w:val="false"/>
          <w:bCs w:val="false"/>
          <w:i w:val="false"/>
          <w:iCs w:val="false"/>
          <w:color w:val="1A1A2E"/>
          <w:sz w:val="22"/>
          <w:szCs w:val="22"/>
        </w:rPr>
        <w:t xml:space="preserve">The Annual Culture Assessment is intentionally structured to align with the Great Place To Work® Trust Index™ dimensions (Credibility, Respect, Fairness, Pride, Camaraderie), making it easy for organizations pursuing GPTW Certification to use their BOOST! Annual Survey results as a practice run. While BOOST! questions are original (not verbatim from the GPTW Trust Index), the dimension structure maps directly to the GPTW model, enabling organizations to compare their BOOST! scores to GPTW benchmarks qualitatively.</w:t>
      </w:r>
    </w:p>
    <w:p>
      <w:r>
        <w:br w:type="page"/>
      </w:r>
    </w:p>
    <w:p>
      <w:pPr>
        <w:pStyle w:val="Heading1"/>
        <w:spacing w:after="180" w:before="360"/>
      </w:pPr>
      <w:r>
        <w:rPr>
          <w:rFonts w:ascii="Calibri" w:cs="Calibri" w:eastAsia="Calibri" w:hAnsi="Calibri"/>
          <w:b/>
          <w:bCs/>
          <w:color w:val="0F1F5C"/>
          <w:sz w:val="36"/>
          <w:szCs w:val="36"/>
        </w:rPr>
        <w:t xml:space="preserve">Section 6: Anonymity &amp; Minimum Threshold Guidelines</w:t>
      </w:r>
    </w:p>
    <w:p>
      <w:pPr>
        <w:pStyle w:val="Heading2"/>
        <w:spacing w:after="140" w:before="280"/>
      </w:pPr>
      <w:r>
        <w:rPr>
          <w:rFonts w:ascii="Calibri" w:cs="Calibri" w:eastAsia="Calibri" w:hAnsi="Calibri"/>
          <w:b/>
          <w:bCs/>
          <w:color w:val="0F1F5C"/>
          <w:sz w:val="28"/>
          <w:szCs w:val="28"/>
        </w:rPr>
        <w:t xml:space="preserve">6.1 Why Anonymity Matters in Small Organizations</w:t>
      </w:r>
    </w:p>
    <w:p>
      <w:pPr>
        <w:spacing w:after="80" w:before="60"/>
        <w:jc w:val="both"/>
      </w:pPr>
      <w:r>
        <w:rPr>
          <w:rFonts w:ascii="Calibri" w:cs="Calibri" w:eastAsia="Calibri" w:hAnsi="Calibri"/>
          <w:b w:val="false"/>
          <w:bCs w:val="false"/>
          <w:i w:val="false"/>
          <w:iCs w:val="false"/>
          <w:color w:val="1A1A2E"/>
          <w:sz w:val="22"/>
          <w:szCs w:val="22"/>
        </w:rPr>
        <w:t xml:space="preserve">Survey anonymity is not merely a best practice in large organizations — in small teams, it is existential to survey integrity. When a nonprofit has a team of four people and three respond, even without showing names, a leader who knows who was absent from work that week can often identify respondents by process of elimination. This is the "small N" problem, and it is the single most common reason employees at small organizations do not trust pulse surveys.</w:t>
      </w:r>
    </w:p>
    <w:p>
      <w:pPr>
        <w:spacing w:after="80" w:before="60"/>
        <w:jc w:val="both"/>
      </w:pPr>
      <w:r>
        <w:rPr>
          <w:rFonts w:ascii="Calibri" w:cs="Calibri" w:eastAsia="Calibri" w:hAnsi="Calibri"/>
          <w:b w:val="false"/>
          <w:bCs w:val="false"/>
          <w:i w:val="false"/>
          <w:iCs w:val="false"/>
          <w:color w:val="1A1A2E"/>
          <w:sz w:val="22"/>
          <w:szCs w:val="22"/>
        </w:rPr>
        <w:t xml:space="preserve">BOOST! Pulse addresses this through a strict minimum threshold policy combined with clear user-facing messaging that explains how anonymity is protected.</w:t>
      </w:r>
    </w:p>
    <w:p>
      <w:pPr>
        <w:spacing w:after="60" w:before="60"/>
      </w:pPr>
      <w:r>
        <w:t xml:space="preserve"/>
      </w:r>
    </w:p>
    <w:p>
      <w:pPr>
        <w:pStyle w:val="Heading2"/>
        <w:spacing w:after="140" w:before="280"/>
      </w:pPr>
      <w:r>
        <w:rPr>
          <w:rFonts w:ascii="Calibri" w:cs="Calibri" w:eastAsia="Calibri" w:hAnsi="Calibri"/>
          <w:b/>
          <w:bCs/>
          <w:color w:val="0F1F5C"/>
          <w:sz w:val="28"/>
          <w:szCs w:val="28"/>
        </w:rPr>
        <w:t xml:space="preserve">6.2 Recommended Minimum Response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Analysis Level</w:t>
            </w:r>
          </w:p>
        </w:tc>
        <w:tc>
          <w:tcPr>
            <w:tcW w:type="dxa" w:w="2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Minimum Responses</w:t>
            </w:r>
          </w:p>
        </w:tc>
        <w:tc>
          <w:tcPr>
            <w:tcW w:type="dxa" w:w="4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Behavior When Threshold Not Met</w:t>
            </w:r>
          </w:p>
        </w:tc>
      </w:tr>
      <w:tr>
        <w:tc>
          <w:tcPr>
            <w:tcW w:type="dxa" w:w="2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Organization-wide results</w:t>
            </w:r>
          </w:p>
        </w:tc>
        <w:tc>
          <w:tcPr>
            <w:tcW w:type="dxa" w:w="2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10 responses</w:t>
            </w:r>
          </w:p>
        </w:tc>
        <w:tc>
          <w:tcPr>
            <w:tcW w:type="dxa" w:w="4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Results displayed; note shown: "Based on [N] responses — thank you for participating!"</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Department/team results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 responses</w:t>
            </w:r>
          </w:p>
        </w:tc>
        <w:tc>
          <w:tcPr>
            <w:tcW w:type="dxa" w:w="4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Results hidden; message shown: "Not enough responses yet — we'll show results once 5 or more team members have responded."</w:t>
            </w:r>
          </w:p>
        </w:tc>
      </w:tr>
      <w:tr>
        <w:tc>
          <w:tcPr>
            <w:tcW w:type="dxa" w:w="2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Manager-level roll-up</w:t>
            </w:r>
          </w:p>
        </w:tc>
        <w:tc>
          <w:tcPr>
            <w:tcW w:type="dxa" w:w="2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 responses</w:t>
            </w:r>
          </w:p>
        </w:tc>
        <w:tc>
          <w:tcPr>
            <w:tcW w:type="dxa" w:w="4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Results hidden from manager view; administrator sees aggregate only.</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Demographic breakdowns (role, tenure, etc.)</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 responses per segment</w:t>
            </w:r>
          </w:p>
        </w:tc>
        <w:tc>
          <w:tcPr>
            <w:tcW w:type="dxa" w:w="4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Segment suppressed from breakdown table; shown only in aggregate.</w:t>
            </w:r>
          </w:p>
        </w:tc>
      </w:tr>
    </w:tbl>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6.3 How BOOST! Handles Anonymity in Small Teams</w:t>
      </w:r>
    </w:p>
    <w:p>
      <w:pPr>
        <w:spacing w:after="80" w:before="60"/>
        <w:jc w:val="both"/>
      </w:pPr>
      <w:r>
        <w:rPr>
          <w:rFonts w:ascii="Calibri" w:cs="Calibri" w:eastAsia="Calibri" w:hAnsi="Calibri"/>
          <w:b w:val="false"/>
          <w:bCs w:val="false"/>
          <w:i w:val="false"/>
          <w:iCs w:val="false"/>
          <w:color w:val="1A1A2E"/>
          <w:sz w:val="22"/>
          <w:szCs w:val="22"/>
        </w:rPr>
        <w:t xml:space="preserve">For organizations with ≤25 total employees where response counts could enable identification, BOOST! implements the following additional protections:</w:t>
      </w:r>
    </w:p>
    <w:p>
      <w:pPr>
        <w:pStyle w:val="ListParagraph"/>
        <w:numPr>
          <w:ilvl w:val="0"/>
          <w:numId w:val="2"/>
        </w:numPr>
        <w:spacing w:after="40" w:before="40"/>
      </w:pPr>
      <w:r>
        <w:rPr>
          <w:rFonts w:ascii="Calibri" w:cs="Calibri" w:eastAsia="Calibri" w:hAnsi="Calibri"/>
          <w:color w:val="1A1A2E"/>
          <w:sz w:val="22"/>
          <w:szCs w:val="22"/>
        </w:rPr>
        <w:t xml:space="preserve">Individual response data is never visible to managers or administrators — only aggregated dimension scores and response distributions are shown</w:t>
      </w:r>
    </w:p>
    <w:p>
      <w:pPr>
        <w:pStyle w:val="ListParagraph"/>
        <w:numPr>
          <w:ilvl w:val="0"/>
          <w:numId w:val="2"/>
        </w:numPr>
        <w:spacing w:after="40" w:before="40"/>
      </w:pPr>
      <w:r>
        <w:rPr>
          <w:rFonts w:ascii="Calibri" w:cs="Calibri" w:eastAsia="Calibri" w:hAnsi="Calibri"/>
          <w:color w:val="1A1A2E"/>
          <w:sz w:val="22"/>
          <w:szCs w:val="22"/>
        </w:rPr>
        <w:t xml:space="preserve">Open-ended text responses are shown only after a 48-hour delay so they cannot be correlated to specific submission times visible to managers</w:t>
      </w:r>
    </w:p>
    <w:p>
      <w:pPr>
        <w:pStyle w:val="ListParagraph"/>
        <w:numPr>
          <w:ilvl w:val="0"/>
          <w:numId w:val="2"/>
        </w:numPr>
        <w:spacing w:after="40" w:before="40"/>
      </w:pPr>
      <w:r>
        <w:rPr>
          <w:rFonts w:ascii="Calibri" w:cs="Calibri" w:eastAsia="Calibri" w:hAnsi="Calibri"/>
          <w:color w:val="1A1A2E"/>
          <w:sz w:val="22"/>
          <w:szCs w:val="22"/>
        </w:rPr>
        <w:t xml:space="preserve">The platform never shows "who has responded" or "who has not responded" — only response counts</w:t>
      </w:r>
    </w:p>
    <w:p>
      <w:pPr>
        <w:pStyle w:val="ListParagraph"/>
        <w:numPr>
          <w:ilvl w:val="0"/>
          <w:numId w:val="2"/>
        </w:numPr>
        <w:spacing w:after="40" w:before="40"/>
      </w:pPr>
      <w:r>
        <w:rPr>
          <w:rFonts w:ascii="Calibri" w:cs="Calibri" w:eastAsia="Calibri" w:hAnsi="Calibri"/>
          <w:color w:val="1A1A2E"/>
          <w:sz w:val="22"/>
          <w:szCs w:val="22"/>
        </w:rPr>
        <w:t xml:space="preserve">For surveys with fewer than 10 total potential respondents, BOOST! prompts administrators to consider combining the survey with other teams before fielding it separately</w:t>
      </w:r>
    </w:p>
    <w:p>
      <w:pPr>
        <w:pStyle w:val="ListParagraph"/>
        <w:numPr>
          <w:ilvl w:val="0"/>
          <w:numId w:val="2"/>
        </w:numPr>
        <w:spacing w:after="40" w:before="40"/>
      </w:pPr>
      <w:r>
        <w:rPr>
          <w:rFonts w:ascii="Calibri" w:cs="Calibri" w:eastAsia="Calibri" w:hAnsi="Calibri"/>
          <w:color w:val="1A1A2E"/>
          <w:sz w:val="22"/>
          <w:szCs w:val="22"/>
        </w:rPr>
        <w:t xml:space="preserve">Survey invitations are sent directly from the BOOST! platform (not forwarded by managers) to protect response independence</w:t>
      </w:r>
    </w:p>
    <w:p>
      <w:pPr>
        <w:spacing w:after="60" w:before="60"/>
      </w:pPr>
      <w:r>
        <w:t xml:space="preserve"/>
      </w:r>
    </w:p>
    <w:p>
      <w:pPr>
        <w:pStyle w:val="Heading2"/>
        <w:spacing w:after="140" w:before="280"/>
      </w:pPr>
      <w:r>
        <w:rPr>
          <w:rFonts w:ascii="Calibri" w:cs="Calibri" w:eastAsia="Calibri" w:hAnsi="Calibri"/>
          <w:b/>
          <w:bCs/>
          <w:color w:val="0F1F5C"/>
          <w:sz w:val="28"/>
          <w:szCs w:val="28"/>
        </w:rPr>
        <w:t xml:space="preserve">6.4 Communicating About Anonymity to Employees</w:t>
      </w:r>
    </w:p>
    <w:p>
      <w:pPr>
        <w:spacing w:after="80" w:before="60"/>
        <w:jc w:val="both"/>
      </w:pPr>
      <w:r>
        <w:rPr>
          <w:rFonts w:ascii="Calibri" w:cs="Calibri" w:eastAsia="Calibri" w:hAnsi="Calibri"/>
          <w:b w:val="false"/>
          <w:bCs w:val="false"/>
          <w:i w:val="false"/>
          <w:iCs w:val="false"/>
          <w:color w:val="1A1A2E"/>
          <w:sz w:val="22"/>
          <w:szCs w:val="22"/>
        </w:rPr>
        <w:t xml:space="preserve">BOOST! recommends that organizations communicate the following points to employees before fielding their first survey:</w:t>
      </w:r>
    </w:p>
    <w:p>
      <w:pPr>
        <w:pStyle w:val="ListParagraph"/>
        <w:numPr>
          <w:ilvl w:val="0"/>
          <w:numId w:val="2"/>
        </w:numPr>
        <w:spacing w:after="40" w:before="40"/>
      </w:pPr>
      <w:r>
        <w:rPr>
          <w:rFonts w:ascii="Calibri" w:cs="Calibri" w:eastAsia="Calibri" w:hAnsi="Calibri"/>
          <w:color w:val="1A1A2E"/>
          <w:sz w:val="22"/>
          <w:szCs w:val="22"/>
        </w:rPr>
        <w:t xml:space="preserve">Your individual responses are never shared with your manager or leadership — only aggregated results are shown</w:t>
      </w:r>
    </w:p>
    <w:p>
      <w:pPr>
        <w:pStyle w:val="ListParagraph"/>
        <w:numPr>
          <w:ilvl w:val="0"/>
          <w:numId w:val="2"/>
        </w:numPr>
        <w:spacing w:after="40" w:before="40"/>
      </w:pPr>
      <w:r>
        <w:rPr>
          <w:rFonts w:ascii="Calibri" w:cs="Calibri" w:eastAsia="Calibri" w:hAnsi="Calibri"/>
          <w:color w:val="1A1A2E"/>
          <w:sz w:val="22"/>
          <w:szCs w:val="22"/>
        </w:rPr>
        <w:t xml:space="preserve">We will only share department-level results when at least 5 people in your group have responded, to protect your privacy</w:t>
      </w:r>
    </w:p>
    <w:p>
      <w:pPr>
        <w:pStyle w:val="ListParagraph"/>
        <w:numPr>
          <w:ilvl w:val="0"/>
          <w:numId w:val="2"/>
        </w:numPr>
        <w:spacing w:after="40" w:before="40"/>
      </w:pPr>
      <w:r>
        <w:rPr>
          <w:rFonts w:ascii="Calibri" w:cs="Calibri" w:eastAsia="Calibri" w:hAnsi="Calibri"/>
          <w:color w:val="1A1A2E"/>
          <w:sz w:val="22"/>
          <w:szCs w:val="22"/>
        </w:rPr>
        <w:t xml:space="preserve">Open-ended comments are shown as-is, without attribution, after a brief delay</w:t>
      </w:r>
    </w:p>
    <w:p>
      <w:pPr>
        <w:pStyle w:val="ListParagraph"/>
        <w:numPr>
          <w:ilvl w:val="0"/>
          <w:numId w:val="2"/>
        </w:numPr>
        <w:spacing w:after="40" w:before="40"/>
      </w:pPr>
      <w:r>
        <w:rPr>
          <w:rFonts w:ascii="Calibri" w:cs="Calibri" w:eastAsia="Calibri" w:hAnsi="Calibri"/>
          <w:color w:val="1A1A2E"/>
          <w:sz w:val="22"/>
          <w:szCs w:val="22"/>
        </w:rPr>
        <w:t xml:space="preserve">The platform vendor (BOOST!) does not sell or share your response data</w:t>
      </w:r>
    </w:p>
    <w:p>
      <w:pPr>
        <w:spacing w:after="80" w:before="60"/>
        <w:jc w:val="both"/>
      </w:pPr>
      <w:r>
        <w:rPr>
          <w:rFonts w:ascii="Calibri" w:cs="Calibri" w:eastAsia="Calibri" w:hAnsi="Calibri"/>
          <w:b w:val="false"/>
          <w:bCs w:val="false"/>
          <w:i w:val="false"/>
          <w:iCs w:val="false"/>
          <w:color w:val="1A1A2E"/>
          <w:sz w:val="22"/>
          <w:szCs w:val="22"/>
        </w:rPr>
        <w:t xml:space="preserve">A pre-built "Anonymity Assurance" email template is included in BOOST!'s survey launch workflow and is sent automatically to all survey recipients before the survey opens.</w:t>
      </w:r>
    </w:p>
    <w:p>
      <w:r>
        <w:br w:type="page"/>
      </w:r>
    </w:p>
    <w:p>
      <w:pPr>
        <w:pStyle w:val="Heading1"/>
        <w:spacing w:after="180" w:before="360"/>
      </w:pPr>
      <w:r>
        <w:rPr>
          <w:rFonts w:ascii="Calibri" w:cs="Calibri" w:eastAsia="Calibri" w:hAnsi="Calibri"/>
          <w:b/>
          <w:bCs/>
          <w:color w:val="0F1F5C"/>
          <w:sz w:val="36"/>
          <w:szCs w:val="36"/>
        </w:rPr>
        <w:t xml:space="preserve">Section 7: Implementation Notes for Lovable / Supabase</w:t>
      </w:r>
    </w:p>
    <w:p>
      <w:pPr>
        <w:spacing w:after="80" w:before="60"/>
        <w:jc w:val="both"/>
      </w:pPr>
      <w:r>
        <w:rPr>
          <w:rFonts w:ascii="Calibri" w:cs="Calibri" w:eastAsia="Calibri" w:hAnsi="Calibri"/>
          <w:b w:val="false"/>
          <w:bCs w:val="false"/>
          <w:i w:val="false"/>
          <w:iCs w:val="false"/>
          <w:color w:val="1A1A2E"/>
          <w:sz w:val="22"/>
          <w:szCs w:val="22"/>
        </w:rPr>
        <w:t xml:space="preserve">This section documents the recommended database schema and scoring logic for implementing the BOOST! Pulse survey feature. All dimension and question data in this document should be seeded into the Supabase backend as part of the platform initialization.</w:t>
      </w:r>
    </w:p>
    <w:p>
      <w:pPr>
        <w:spacing w:after="60" w:before="60"/>
      </w:pPr>
      <w:r>
        <w:t xml:space="preserve"/>
      </w:r>
    </w:p>
    <w:p>
      <w:pPr>
        <w:pStyle w:val="Heading2"/>
        <w:spacing w:after="140" w:before="280"/>
      </w:pPr>
      <w:r>
        <w:rPr>
          <w:rFonts w:ascii="Calibri" w:cs="Calibri" w:eastAsia="Calibri" w:hAnsi="Calibri"/>
          <w:b/>
          <w:bCs/>
          <w:color w:val="0F1F5C"/>
          <w:sz w:val="28"/>
          <w:szCs w:val="28"/>
        </w:rPr>
        <w:t xml:space="preserve">7.1 survey_dimensions Table Seed</w:t>
      </w:r>
    </w:p>
    <w:p>
      <w:pPr>
        <w:spacing w:after="80" w:before="60"/>
        <w:jc w:val="both"/>
      </w:pPr>
      <w:r>
        <w:rPr>
          <w:rFonts w:ascii="Calibri" w:cs="Calibri" w:eastAsia="Calibri" w:hAnsi="Calibri"/>
          <w:b w:val="false"/>
          <w:bCs w:val="false"/>
          <w:i w:val="false"/>
          <w:iCs w:val="false"/>
          <w:color w:val="1A1A2E"/>
          <w:sz w:val="22"/>
          <w:szCs w:val="22"/>
        </w:rPr>
        <w:t xml:space="preserve">The survey_dimensions table should be seeded with all 15 dimensions from Section 3. Each row includes the dimension's unique slug, display name, plain-language description, and research source attribution.</w:t>
      </w:r>
    </w:p>
    <w:p>
      <w:pPr>
        <w:spacing w:after="60" w:before="100"/>
      </w:pPr>
      <w:r>
        <w:rPr>
          <w:rFonts w:ascii="Calibri" w:cs="Calibri" w:eastAsia="Calibri" w:hAnsi="Calibri"/>
          <w:b/>
          <w:bCs/>
          <w:color w:val="0F1F5C"/>
          <w:sz w:val="22"/>
          <w:szCs w:val="22"/>
        </w:rPr>
        <w:t xml:space="preserve">Recommended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600"/>
        <w:gridCol w:w="1800"/>
      </w:tblGrid>
      <w:tr>
        <w:tc>
          <w:tcPr>
            <w:tcW w:type="dxa" w:w="20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Column</w:t>
            </w:r>
          </w:p>
        </w:tc>
        <w:tc>
          <w:tcPr>
            <w:tcW w:type="dxa" w:w="1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20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w:t>
            </w:r>
          </w:p>
        </w:tc>
        <w:tc>
          <w:tcPr>
            <w:tcW w:type="dxa" w:w="1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Nullable</w:t>
            </w:r>
          </w:p>
        </w:tc>
        <w:tc>
          <w:tcPr>
            <w:tcW w:type="dxa" w:w="18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Notes</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id</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uuid</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gen_random_uuid()</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NOT NULL</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Primary key</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slug</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text</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psychological-safety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NOT NULL</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Unique identifier, URL-safe</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name</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text</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Psychological Safety</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NOT NULL</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Display name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description</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text</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Employees feel safe to speak up...</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NOT NULL</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From Section 3 table</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research_source</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text</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Edmondson 1999 + Google Aristotle</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NOT NULL</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Source frameworks</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module_name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text</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Psychological Safety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NOT NULL</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BOOST! module label</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sort_order</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integer</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NOT NULL</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Display order in UI</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is_active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boolean</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true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NOT NULL</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Soft-disable without deleting</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created_at</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timestamptz</w:t>
            </w:r>
          </w:p>
        </w:tc>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now()</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NOT NULL</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Auto-set on insert</w:t>
            </w:r>
          </w:p>
        </w:tc>
      </w:tr>
    </w:tbl>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7.2 pulse_surveys.questions JSONB Structure</w:t>
      </w:r>
    </w:p>
    <w:p>
      <w:pPr>
        <w:spacing w:after="80" w:before="60"/>
        <w:jc w:val="both"/>
      </w:pPr>
      <w:r>
        <w:rPr>
          <w:rFonts w:ascii="Calibri" w:cs="Calibri" w:eastAsia="Calibri" w:hAnsi="Calibri"/>
          <w:b w:val="false"/>
          <w:bCs w:val="false"/>
          <w:i w:val="false"/>
          <w:iCs w:val="false"/>
          <w:color w:val="1A1A2E"/>
          <w:sz w:val="22"/>
          <w:szCs w:val="22"/>
        </w:rPr>
        <w:t xml:space="preserve">Each pulse survey stores its questions as a JSONB array. This enables schema flexibility as question types evolve without requiring migrations. Each question object includes a reference back to its survey dimension.</w:t>
      </w:r>
    </w:p>
    <w:p>
      <w:pPr>
        <w:spacing w:after="60" w:before="100"/>
      </w:pPr>
      <w:r>
        <w:rPr>
          <w:rFonts w:ascii="Calibri" w:cs="Calibri" w:eastAsia="Calibri" w:hAnsi="Calibri"/>
          <w:b/>
          <w:bCs/>
          <w:color w:val="0F1F5C"/>
          <w:sz w:val="22"/>
          <w:szCs w:val="22"/>
        </w:rPr>
        <w:t xml:space="preserve">Recommended question object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600"/>
      </w:tblGrid>
      <w:tr>
        <w:tc>
          <w:tcPr>
            <w:tcW w:type="dxa" w:w="20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JSON Key</w:t>
            </w:r>
          </w:p>
        </w:tc>
        <w:tc>
          <w:tcPr>
            <w:tcW w:type="dxa" w:w="1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18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 Value</w:t>
            </w:r>
          </w:p>
        </w:tc>
        <w:tc>
          <w:tcPr>
            <w:tcW w:type="dxa" w:w="36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question_id</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string (uuid)</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"q_01_ps_001"</w:t>
            </w:r>
          </w:p>
        </w:tc>
        <w:tc>
          <w:tcPr>
            <w:tcW w:type="dxa" w:w="3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Stable unique ID for tracking across surveys</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dimension_id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string (uuid)</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"uuid-of-dimension"</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FK → survey_dimensions.id</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dimension_slug</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string</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"psychological-safety"</w:t>
            </w:r>
          </w:p>
        </w:tc>
        <w:tc>
          <w:tcPr>
            <w:tcW w:type="dxa" w:w="3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Denormalized for query convenience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text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string</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 feel comfortable raising..."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Full question text displayed to respondent</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type</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enum string</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"likert5" | "nps10" | "open_text"</w:t>
            </w:r>
          </w:p>
        </w:tc>
        <w:tc>
          <w:tcPr>
            <w:tcW w:type="dxa" w:w="3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Response scale type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scale_min</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integer</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Minimum numeric value (Likert: 1, NPS: 0)</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scale_max</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integer</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5 or 10</w:t>
            </w:r>
          </w:p>
        </w:tc>
        <w:tc>
          <w:tcPr>
            <w:tcW w:type="dxa" w:w="3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Maximum numeric value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is_reverse_scored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boolean</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false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If true, invert score before dimension averaging</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is_required</w:t>
            </w:r>
          </w:p>
        </w:tc>
        <w:tc>
          <w:tcPr>
            <w:tcW w:type="dxa" w:w="1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boolean</w:t>
            </w:r>
          </w:p>
        </w:tc>
        <w:tc>
          <w:tcPr>
            <w:tcW w:type="dxa" w:w="1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true</w:t>
            </w:r>
          </w:p>
        </w:tc>
        <w:tc>
          <w:tcPr>
            <w:tcW w:type="dxa" w:w="36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Whether skipping is allowed</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sort_order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integer</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1</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Display order within the survey</w:t>
            </w:r>
          </w:p>
        </w:tc>
      </w:tr>
    </w:tbl>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7.3 Response Storage: pulse_responses.responses JSONB</w:t>
      </w:r>
    </w:p>
    <w:p>
      <w:pPr>
        <w:spacing w:after="80" w:before="60"/>
        <w:jc w:val="both"/>
      </w:pPr>
      <w:r>
        <w:rPr>
          <w:rFonts w:ascii="Calibri" w:cs="Calibri" w:eastAsia="Calibri" w:hAnsi="Calibri"/>
          <w:b w:val="false"/>
          <w:bCs w:val="false"/>
          <w:i w:val="false"/>
          <w:iCs w:val="false"/>
          <w:color w:val="1A1A2E"/>
          <w:sz w:val="22"/>
          <w:szCs w:val="22"/>
        </w:rPr>
        <w:t xml:space="preserve">Survey responses are stored as a flat JSONB object where each key is a question_id and each value is the respondent's score. This structure enables fast dimension-level aggregation via PostgreSQL JSONB operators.</w:t>
      </w:r>
    </w:p>
    <w:p>
      <w:pPr>
        <w:spacing w:after="60" w:before="100"/>
      </w:pPr>
      <w:r>
        <w:rPr>
          <w:rFonts w:ascii="Calibri" w:cs="Calibri" w:eastAsia="Calibri" w:hAnsi="Calibri"/>
          <w:b/>
          <w:bCs/>
          <w:color w:val="0F1F5C"/>
          <w:sz w:val="22"/>
          <w:szCs w:val="22"/>
        </w:rPr>
        <w:t xml:space="preserve">Example response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1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54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 / Notes</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id</w:t>
            </w:r>
          </w:p>
        </w:tc>
        <w:tc>
          <w:tcPr>
            <w:tcW w:type="dxa" w:w="1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uuid</w:t>
            </w:r>
          </w:p>
        </w:tc>
        <w:tc>
          <w:tcPr>
            <w:tcW w:type="dxa" w:w="5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gen_random_uuid()</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survey_id</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uuid</w:t>
            </w:r>
          </w:p>
        </w:tc>
        <w:tc>
          <w:tcPr>
            <w:tcW w:type="dxa" w:w="5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FK → pulse_surveys.id</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respondent_token</w:t>
            </w:r>
          </w:p>
        </w:tc>
        <w:tc>
          <w:tcPr>
            <w:tcW w:type="dxa" w:w="1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text</w:t>
            </w:r>
          </w:p>
        </w:tc>
        <w:tc>
          <w:tcPr>
            <w:tcW w:type="dxa" w:w="5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Anonymized token (not user_id) — never store PII directly</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responses</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jsonb</w:t>
            </w:r>
          </w:p>
        </w:tc>
        <w:tc>
          <w:tcPr>
            <w:tcW w:type="dxa" w:w="5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{"q_01_ps_001": 4, "q_01_ps_002": 5, "q_01_ps_006": 8, "q_15_oe_001": "More frequent check-ins would help"}</w:t>
            </w:r>
          </w:p>
        </w:tc>
      </w:tr>
      <w:tr>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submitted_at</w:t>
            </w:r>
          </w:p>
        </w:tc>
        <w:tc>
          <w:tcPr>
            <w:tcW w:type="dxa" w:w="1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timestamptz</w:t>
            </w:r>
          </w:p>
        </w:tc>
        <w:tc>
          <w:tcPr>
            <w:tcW w:type="dxa" w:w="54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now()</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survey_version</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integer</w:t>
            </w:r>
          </w:p>
        </w:tc>
        <w:tc>
          <w:tcPr>
            <w:tcW w:type="dxa" w:w="5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Version number of survey definition at time of response</w:t>
            </w:r>
          </w:p>
        </w:tc>
      </w:tr>
    </w:tbl>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7.4 Dimension Scoring Logic</w:t>
      </w:r>
    </w:p>
    <w:p>
      <w:pPr>
        <w:spacing w:after="80" w:before="60"/>
        <w:jc w:val="both"/>
      </w:pPr>
      <w:r>
        <w:rPr>
          <w:rFonts w:ascii="Calibri" w:cs="Calibri" w:eastAsia="Calibri" w:hAnsi="Calibri"/>
          <w:b w:val="false"/>
          <w:bCs w:val="false"/>
          <w:i w:val="false"/>
          <w:iCs w:val="false"/>
          <w:color w:val="1A1A2E"/>
          <w:sz w:val="22"/>
          <w:szCs w:val="22"/>
        </w:rPr>
        <w:t xml:space="preserve">Dimension scores are calculated by averaging all responses tagged to a given dimension within a survey period. Reverse-scored items must be inverted before inclusion in the average.</w:t>
      </w:r>
    </w:p>
    <w:p>
      <w:pPr>
        <w:pStyle w:val="ListParagraph"/>
        <w:numPr>
          <w:ilvl w:val="0"/>
          <w:numId w:val="2"/>
        </w:numPr>
        <w:spacing w:after="40" w:before="40"/>
      </w:pPr>
      <w:r>
        <w:rPr>
          <w:rFonts w:ascii="Calibri" w:cs="Calibri" w:eastAsia="Calibri" w:hAnsi="Calibri"/>
          <w:color w:val="1A1A2E"/>
          <w:sz w:val="22"/>
          <w:szCs w:val="22"/>
        </w:rPr>
        <w:t xml:space="preserve">Score formula: dimension_score = AVG(response_score) for all questions where dimension_slug = [target] AND is_reverse_scored = false, UNION inverted scores (scale_max + scale_min - response_score) for reverse-scored items</w:t>
      </w:r>
    </w:p>
    <w:p>
      <w:pPr>
        <w:pStyle w:val="ListParagraph"/>
        <w:numPr>
          <w:ilvl w:val="0"/>
          <w:numId w:val="2"/>
        </w:numPr>
        <w:spacing w:after="40" w:before="40"/>
      </w:pPr>
      <w:r>
        <w:rPr>
          <w:rFonts w:ascii="Calibri" w:cs="Calibri" w:eastAsia="Calibri" w:hAnsi="Calibri"/>
          <w:color w:val="1A1A2E"/>
          <w:sz w:val="22"/>
          <w:szCs w:val="22"/>
        </w:rPr>
        <w:t xml:space="preserve">NPS-style questions (0–10 scale) are not included in Likert dimension averages — they are displayed as standalone NPS metrics and eNPS scores</w:t>
      </w:r>
    </w:p>
    <w:p>
      <w:pPr>
        <w:pStyle w:val="ListParagraph"/>
        <w:numPr>
          <w:ilvl w:val="0"/>
          <w:numId w:val="2"/>
        </w:numPr>
        <w:spacing w:after="40" w:before="40"/>
      </w:pPr>
      <w:r>
        <w:rPr>
          <w:rFonts w:ascii="Calibri" w:cs="Calibri" w:eastAsia="Calibri" w:hAnsi="Calibri"/>
          <w:color w:val="1A1A2E"/>
          <w:sz w:val="22"/>
          <w:szCs w:val="22"/>
        </w:rPr>
        <w:t xml:space="preserve">Open text responses are excluded from numeric scoring and routed to the sentiment analysis pipeline</w:t>
      </w:r>
    </w:p>
    <w:p>
      <w:pPr>
        <w:pStyle w:val="ListParagraph"/>
        <w:numPr>
          <w:ilvl w:val="0"/>
          <w:numId w:val="2"/>
        </w:numPr>
        <w:spacing w:after="40" w:before="40"/>
      </w:pPr>
      <w:r>
        <w:rPr>
          <w:rFonts w:ascii="Calibri" w:cs="Calibri" w:eastAsia="Calibri" w:hAnsi="Calibri"/>
          <w:color w:val="1A1A2E"/>
          <w:sz w:val="22"/>
          <w:szCs w:val="22"/>
        </w:rPr>
        <w:t xml:space="preserve">Minimum response threshold: dimension scores are only calculated and displayed when at least 5 responses contribute to that dimension</w:t>
      </w:r>
    </w:p>
    <w:p>
      <w:pPr>
        <w:spacing w:after="60" w:before="60"/>
      </w:pPr>
      <w:r>
        <w:t xml:space="preserve"/>
      </w:r>
    </w:p>
    <w:p>
      <w:pPr>
        <w:pStyle w:val="Heading2"/>
        <w:spacing w:after="140" w:before="280"/>
      </w:pPr>
      <w:r>
        <w:rPr>
          <w:rFonts w:ascii="Calibri" w:cs="Calibri" w:eastAsia="Calibri" w:hAnsi="Calibri"/>
          <w:b/>
          <w:bCs/>
          <w:color w:val="0F1F5C"/>
          <w:sz w:val="28"/>
          <w:szCs w:val="28"/>
        </w:rPr>
        <w:t xml:space="preserve">7.5 Heatmap Scoring Logic</w:t>
      </w:r>
    </w:p>
    <w:p>
      <w:pPr>
        <w:spacing w:after="80" w:before="60"/>
        <w:jc w:val="both"/>
      </w:pPr>
      <w:r>
        <w:rPr>
          <w:rFonts w:ascii="Calibri" w:cs="Calibri" w:eastAsia="Calibri" w:hAnsi="Calibri"/>
          <w:b w:val="false"/>
          <w:bCs w:val="false"/>
          <w:i w:val="false"/>
          <w:iCs w:val="false"/>
          <w:color w:val="1A1A2E"/>
          <w:sz w:val="22"/>
          <w:szCs w:val="22"/>
        </w:rPr>
        <w:t xml:space="preserve">The BOOST! Pulse heatmap visualizes dimension scores across time periods (months or quarters). Each cell in the heatmap represents one dimension in one time period, color-coded by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c>
          <w:tcPr>
            <w:tcW w:type="dxa" w:w="20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 Range</w:t>
            </w:r>
          </w:p>
        </w:tc>
        <w:tc>
          <w:tcPr>
            <w:tcW w:type="dxa" w:w="22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Color</w:t>
            </w:r>
          </w:p>
        </w:tc>
        <w:tc>
          <w:tcPr>
            <w:tcW w:type="dxa" w:w="4800"/>
            <w:tcBorders>
              <w:top w:val="single" w:color="D0D0D0" w:sz="1"/>
              <w:left w:val="single" w:color="D0D0D0" w:sz="1"/>
              <w:bottom w:val="single" w:color="D0D0D0" w:sz="1"/>
              <w:right w:val="single" w:color="D0D0D0" w:sz="1"/>
            </w:tcBorders>
            <w:shd w:fill="0F1F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Interpretation</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&lt; 3.0</w:t>
            </w:r>
          </w:p>
        </w:tc>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Red (#C0392B)</w:t>
            </w:r>
          </w:p>
        </w:tc>
        <w:tc>
          <w:tcPr>
            <w:tcW w:type="dxa" w:w="4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Critical — significant issue; immediate attention recommended. Leading indicator of turnover risk.</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3.0 – 3.4</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Orange (#E67E22)</w:t>
            </w:r>
          </w:p>
        </w:tc>
        <w:tc>
          <w:tcPr>
            <w:tcW w:type="dxa" w:w="4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Concerning — below baseline. Monitor closely and investigate contributing factors.</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3.5 – 3.7</w:t>
            </w:r>
          </w:p>
        </w:tc>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Yellow (#F1C40F)</w:t>
            </w:r>
          </w:p>
        </w:tc>
        <w:tc>
          <w:tcPr>
            <w:tcW w:type="dxa" w:w="4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Developing — approaching baseline. Some employees dissatisfied; targeted improvements likely to have impact.</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3.8 – 4.2</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Light Green (#27AE60)</w:t>
            </w:r>
          </w:p>
        </w:tc>
        <w:tc>
          <w:tcPr>
            <w:tcW w:type="dxa" w:w="4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Good — healthy range. Continue current practices; look for incremental improvements.</w:t>
            </w:r>
          </w:p>
        </w:tc>
      </w:tr>
      <w:tr>
        <w:tc>
          <w:tcPr>
            <w:tcW w:type="dxa" w:w="20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4.3 – 5.0</w:t>
            </w:r>
          </w:p>
        </w:tc>
        <w:tc>
          <w:tcPr>
            <w:tcW w:type="dxa" w:w="22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Dark Green (#1E8449)</w:t>
            </w:r>
          </w:p>
        </w:tc>
        <w:tc>
          <w:tcPr>
            <w:tcW w:type="dxa" w:w="4800"/>
            <w:tcBorders>
              <w:top w:val="single" w:color="D0D0D0" w:sz="1"/>
              <w:left w:val="single" w:color="D0D0D0" w:sz="1"/>
              <w:bottom w:val="single" w:color="D0D0D0" w:sz="1"/>
              <w:right w:val="single" w:color="D0D0D0" w:sz="1"/>
            </w:tcBorders>
            <w:shd w:fill="E8EBF5" w:val="clear"/>
            <w:tcMar>
              <w:top w:type="dxa" w:w="60"/>
              <w:left w:type="dxa" w:w="120"/>
              <w:bottom w:type="dxa" w:w="60"/>
              <w:right w:type="dxa" w:w="120"/>
            </w:tcMar>
          </w:tcPr>
          <w:p>
            <w:pPr>
              <w:jc w:val="left"/>
            </w:pPr>
            <w:r>
              <w:rPr>
                <w:rFonts w:ascii="Calibri" w:cs="Calibri" w:eastAsia="Calibri" w:hAnsi="Calibri"/>
                <w:b w:val="false"/>
                <w:bCs w:val="false"/>
                <w:color w:val="1A1A2E"/>
                <w:sz w:val="20"/>
                <w:szCs w:val="20"/>
              </w:rPr>
              <w:t xml:space="preserve">Excellent — benchmark-level. Preserve and institutionalize what is working.</w:t>
            </w:r>
          </w:p>
        </w:tc>
      </w:tr>
    </w:tbl>
    <w:p>
      <w:pPr>
        <w:spacing w:after="80" w:before="80"/>
      </w:pPr>
      <w:r>
        <w:t xml:space="preserve"/>
      </w:r>
    </w:p>
    <w:p>
      <w:pPr>
        <w:pStyle w:val="Heading2"/>
        <w:spacing w:after="140" w:before="280"/>
      </w:pPr>
      <w:r>
        <w:rPr>
          <w:rFonts w:ascii="Calibri" w:cs="Calibri" w:eastAsia="Calibri" w:hAnsi="Calibri"/>
          <w:b/>
          <w:bCs/>
          <w:color w:val="0F1F5C"/>
          <w:sz w:val="28"/>
          <w:szCs w:val="28"/>
        </w:rPr>
        <w:t xml:space="preserve">7.6 Row-Level Security (RLS) Policy Notes</w:t>
      </w:r>
    </w:p>
    <w:p>
      <w:pPr>
        <w:pStyle w:val="ListParagraph"/>
        <w:numPr>
          <w:ilvl w:val="0"/>
          <w:numId w:val="2"/>
        </w:numPr>
        <w:spacing w:after="40" w:before="40"/>
      </w:pPr>
      <w:r>
        <w:rPr>
          <w:rFonts w:ascii="Calibri" w:cs="Calibri" w:eastAsia="Calibri" w:hAnsi="Calibri"/>
          <w:color w:val="1A1A2E"/>
          <w:sz w:val="22"/>
          <w:szCs w:val="22"/>
        </w:rPr>
        <w:t xml:space="preserve">Employees can submit responses but never read other respondents' individual responses</w:t>
      </w:r>
    </w:p>
    <w:p>
      <w:pPr>
        <w:pStyle w:val="ListParagraph"/>
        <w:numPr>
          <w:ilvl w:val="0"/>
          <w:numId w:val="2"/>
        </w:numPr>
        <w:spacing w:after="40" w:before="40"/>
      </w:pPr>
      <w:r>
        <w:rPr>
          <w:rFonts w:ascii="Calibri" w:cs="Calibri" w:eastAsia="Calibri" w:hAnsi="Calibri"/>
          <w:color w:val="1A1A2E"/>
          <w:sz w:val="22"/>
          <w:szCs w:val="22"/>
        </w:rPr>
        <w:t xml:space="preserve">Managers can read aggregated dimension scores for their team but not individual response rows</w:t>
      </w:r>
    </w:p>
    <w:p>
      <w:pPr>
        <w:pStyle w:val="ListParagraph"/>
        <w:numPr>
          <w:ilvl w:val="0"/>
          <w:numId w:val="2"/>
        </w:numPr>
        <w:spacing w:after="40" w:before="40"/>
      </w:pPr>
      <w:r>
        <w:rPr>
          <w:rFonts w:ascii="Calibri" w:cs="Calibri" w:eastAsia="Calibri" w:hAnsi="Calibri"/>
          <w:color w:val="1A1A2E"/>
          <w:sz w:val="22"/>
          <w:szCs w:val="22"/>
        </w:rPr>
        <w:t xml:space="preserve">Aggregated results are gated behind the minimum threshold check at the API layer (not the RLS layer, to avoid leaking count data)</w:t>
      </w:r>
    </w:p>
    <w:p>
      <w:pPr>
        <w:pStyle w:val="ListParagraph"/>
        <w:numPr>
          <w:ilvl w:val="0"/>
          <w:numId w:val="2"/>
        </w:numPr>
        <w:spacing w:after="40" w:before="40"/>
      </w:pPr>
      <w:r>
        <w:rPr>
          <w:rFonts w:ascii="Calibri" w:cs="Calibri" w:eastAsia="Calibri" w:hAnsi="Calibri"/>
          <w:color w:val="1A1A2E"/>
          <w:sz w:val="22"/>
          <w:szCs w:val="22"/>
        </w:rPr>
        <w:t xml:space="preserve">Organization administrators can read all aggregated data but never individual response rows</w:t>
      </w:r>
    </w:p>
    <w:p>
      <w:pPr>
        <w:pStyle w:val="ListParagraph"/>
        <w:numPr>
          <w:ilvl w:val="0"/>
          <w:numId w:val="2"/>
        </w:numPr>
        <w:spacing w:after="40" w:before="40"/>
      </w:pPr>
      <w:r>
        <w:rPr>
          <w:rFonts w:ascii="Calibri" w:cs="Calibri" w:eastAsia="Calibri" w:hAnsi="Calibri"/>
          <w:color w:val="1A1A2E"/>
          <w:sz w:val="22"/>
          <w:szCs w:val="22"/>
        </w:rPr>
        <w:t xml:space="preserve">The respondent_token should be generated from a hash of (user_id + survey_id + a per-survey salt) so responses cannot be re-identified across surveys</w:t>
      </w:r>
    </w:p>
    <w:p>
      <w:r>
        <w:br w:type="page"/>
      </w:r>
    </w:p>
    <w:p>
      <w:pPr>
        <w:pStyle w:val="Heading1"/>
        <w:spacing w:after="180" w:before="360"/>
      </w:pPr>
      <w:r>
        <w:rPr>
          <w:rFonts w:ascii="Calibri" w:cs="Calibri" w:eastAsia="Calibri" w:hAnsi="Calibri"/>
          <w:b/>
          <w:bCs/>
          <w:color w:val="0F1F5C"/>
          <w:sz w:val="36"/>
          <w:szCs w:val="36"/>
        </w:rPr>
        <w:t xml:space="preserve">Section 8: Citations &amp; References</w:t>
      </w:r>
    </w:p>
    <w:p>
      <w:pPr>
        <w:spacing w:after="80" w:before="60"/>
        <w:jc w:val="both"/>
      </w:pPr>
      <w:r>
        <w:rPr>
          <w:rFonts w:ascii="Calibri" w:cs="Calibri" w:eastAsia="Calibri" w:hAnsi="Calibri"/>
          <w:b w:val="false"/>
          <w:bCs w:val="false"/>
          <w:i w:val="false"/>
          <w:iCs w:val="false"/>
          <w:color w:val="1A1A2E"/>
          <w:sz w:val="22"/>
          <w:szCs w:val="22"/>
        </w:rPr>
        <w:t xml:space="preserve">The following bibliography lists all primary sources referenced in this document, with full URLs for verification and attribution.</w:t>
      </w:r>
    </w:p>
    <w:p>
      <w:pPr>
        <w:spacing w:after="60" w:before="60"/>
      </w:pPr>
      <w:r>
        <w:t xml:space="preserve"/>
      </w:r>
    </w:p>
    <w:p>
      <w:pPr>
        <w:pStyle w:val="Heading2"/>
        <w:spacing w:after="140" w:before="280"/>
      </w:pPr>
      <w:r>
        <w:rPr>
          <w:rFonts w:ascii="Calibri" w:cs="Calibri" w:eastAsia="Calibri" w:hAnsi="Calibri"/>
          <w:b/>
          <w:bCs/>
          <w:color w:val="0F1F5C"/>
          <w:sz w:val="28"/>
          <w:szCs w:val="28"/>
        </w:rPr>
        <w:t xml:space="preserve">Primary Research Sources</w:t>
      </w:r>
    </w:p>
    <w:p>
      <w:pPr>
        <w:pStyle w:val="Heading3"/>
        <w:spacing w:after="100" w:before="220"/>
      </w:pPr>
      <w:r>
        <w:rPr>
          <w:rFonts w:ascii="Calibri" w:cs="Calibri" w:eastAsia="Calibri" w:hAnsi="Calibri"/>
          <w:b/>
          <w:bCs/>
          <w:color w:val="9B1FBF"/>
          <w:sz w:val="24"/>
          <w:szCs w:val="24"/>
        </w:rPr>
        <w:t xml:space="preserve">Great Place To Work®</w:t>
      </w:r>
    </w:p>
    <w:p>
      <w:pPr>
        <w:pStyle w:val="ListParagraph"/>
        <w:numPr>
          <w:ilvl w:val="0"/>
          <w:numId w:val="2"/>
        </w:numPr>
        <w:spacing w:after="40" w:before="40"/>
      </w:pPr>
      <w:r>
        <w:rPr>
          <w:rFonts w:ascii="Calibri" w:cs="Calibri" w:eastAsia="Calibri" w:hAnsi="Calibri"/>
          <w:color w:val="1A1A2E"/>
          <w:sz w:val="22"/>
          <w:szCs w:val="22"/>
        </w:rPr>
        <w:t xml:space="preserve">Great Place To Work®. "Trust Model©." greatplacetowork.me. https://greatplacetowork.me/trust-model/</w:t>
      </w:r>
    </w:p>
    <w:p>
      <w:pPr>
        <w:pStyle w:val="ListParagraph"/>
        <w:numPr>
          <w:ilvl w:val="0"/>
          <w:numId w:val="2"/>
        </w:numPr>
        <w:spacing w:after="40" w:before="40"/>
      </w:pPr>
      <w:r>
        <w:rPr>
          <w:rFonts w:ascii="Calibri" w:cs="Calibri" w:eastAsia="Calibri" w:hAnsi="Calibri"/>
          <w:color w:val="1A1A2E"/>
          <w:sz w:val="22"/>
          <w:szCs w:val="22"/>
        </w:rPr>
        <w:t xml:space="preserve">Great Place To Work®. "Certification." greatplacetowork.com. https://www.greatplacetowork.com/solutions/certification</w:t>
      </w:r>
    </w:p>
    <w:p>
      <w:pPr>
        <w:pStyle w:val="ListParagraph"/>
        <w:numPr>
          <w:ilvl w:val="0"/>
          <w:numId w:val="2"/>
        </w:numPr>
        <w:spacing w:after="40" w:before="40"/>
      </w:pPr>
      <w:r>
        <w:rPr>
          <w:rFonts w:ascii="Calibri" w:cs="Calibri" w:eastAsia="Calibri" w:hAnsi="Calibri"/>
          <w:color w:val="1A1A2E"/>
          <w:sz w:val="22"/>
          <w:szCs w:val="22"/>
        </w:rPr>
        <w:t xml:space="preserve">Great Place To Work® Netherlands. "Trust Index™ Employee Survey." greatplacetowork.nl. https://www.greatplacetowork.nl/en/offerings/employee-survey</w:t>
      </w:r>
    </w:p>
    <w:p>
      <w:pPr>
        <w:pStyle w:val="ListParagraph"/>
        <w:numPr>
          <w:ilvl w:val="0"/>
          <w:numId w:val="2"/>
        </w:numPr>
        <w:spacing w:after="40" w:before="40"/>
      </w:pPr>
      <w:r>
        <w:rPr>
          <w:rFonts w:ascii="Calibri" w:cs="Calibri" w:eastAsia="Calibri" w:hAnsi="Calibri"/>
          <w:color w:val="1A1A2E"/>
          <w:sz w:val="22"/>
          <w:szCs w:val="22"/>
        </w:rPr>
        <w:t xml:space="preserve">Enterprise Engagement Alliance. "Trust, Proven: How Great Place To Work Turned Culture Into a Measurable Growth Engine." https://www.enterpriseengagement.org/articles/content/8635598/trust-proven-how-great-place-to-work-turned-culture-into-a-measurable-growth-engine/</w:t>
      </w:r>
    </w:p>
    <w:p>
      <w:pPr>
        <w:pStyle w:val="ListParagraph"/>
        <w:numPr>
          <w:ilvl w:val="0"/>
          <w:numId w:val="2"/>
        </w:numPr>
        <w:spacing w:after="40" w:before="40"/>
      </w:pPr>
      <w:r>
        <w:rPr>
          <w:rFonts w:ascii="Calibri" w:cs="Calibri" w:eastAsia="Calibri" w:hAnsi="Calibri"/>
          <w:color w:val="1A1A2E"/>
          <w:sz w:val="22"/>
          <w:szCs w:val="22"/>
        </w:rPr>
        <w:t xml:space="preserve">LEATID (Trust Index PDF). "Great Place To Work® Trust Index© Employee Survey." http://leatidlatam.org/wp-content/uploads/2019/07/Trust-index.pdf</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Best Nonprofits to Work For</w:t>
      </w:r>
    </w:p>
    <w:p>
      <w:pPr>
        <w:pStyle w:val="ListParagraph"/>
        <w:numPr>
          <w:ilvl w:val="0"/>
          <w:numId w:val="2"/>
        </w:numPr>
        <w:spacing w:after="40" w:before="40"/>
      </w:pPr>
      <w:r>
        <w:rPr>
          <w:rFonts w:ascii="Calibri" w:cs="Calibri" w:eastAsia="Calibri" w:hAnsi="Calibri"/>
          <w:color w:val="1A1A2E"/>
          <w:sz w:val="22"/>
          <w:szCs w:val="22"/>
        </w:rPr>
        <w:t xml:space="preserve">The NonProfit Times. "The 2024 Best NPOs To Work For: Data Shows Satisfaction Slipping in Some Areas." April 23, 2024. https://thenonprofittimes.com/npt_articles/the-2024-best-npos-to-work-for-data-shows-satisfaction-slipping-in-some-areas/</w:t>
      </w:r>
    </w:p>
    <w:p>
      <w:pPr>
        <w:pStyle w:val="ListParagraph"/>
        <w:numPr>
          <w:ilvl w:val="0"/>
          <w:numId w:val="2"/>
        </w:numPr>
        <w:spacing w:after="40" w:before="40"/>
      </w:pPr>
      <w:r>
        <w:rPr>
          <w:rFonts w:ascii="Calibri" w:cs="Calibri" w:eastAsia="Calibri" w:hAnsi="Calibri"/>
          <w:color w:val="1A1A2E"/>
          <w:sz w:val="22"/>
          <w:szCs w:val="22"/>
        </w:rPr>
        <w:t xml:space="preserve">The NonProfit Times. "Best Nonprofits To Work For: Flexibility, Benefits And Feeling Appreciated Key Top Nonprofits." April 1, 2019. https://thenonprofittimes.com/npt_articles/flexibility-benefits-and-feeling-appreciated-key-top-nonprofits/</w:t>
      </w:r>
    </w:p>
    <w:p>
      <w:pPr>
        <w:pStyle w:val="ListParagraph"/>
        <w:numPr>
          <w:ilvl w:val="0"/>
          <w:numId w:val="2"/>
        </w:numPr>
        <w:spacing w:after="40" w:before="40"/>
      </w:pPr>
      <w:r>
        <w:rPr>
          <w:rFonts w:ascii="Calibri" w:cs="Calibri" w:eastAsia="Calibri" w:hAnsi="Calibri"/>
          <w:color w:val="1A1A2E"/>
          <w:sz w:val="22"/>
          <w:szCs w:val="22"/>
        </w:rPr>
        <w:t xml:space="preserve">The NonProfit Times. "Best Nonprofits to Work For Survey." PDF. https://www.thenonprofittimes.com/wp-content/uploads/2016/04/4-1-16_SR_BestNonprofits.pdf</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Google Project Aristotle</w:t>
      </w:r>
    </w:p>
    <w:p>
      <w:pPr>
        <w:pStyle w:val="ListParagraph"/>
        <w:numPr>
          <w:ilvl w:val="0"/>
          <w:numId w:val="2"/>
        </w:numPr>
        <w:spacing w:after="40" w:before="40"/>
      </w:pPr>
      <w:r>
        <w:rPr>
          <w:rFonts w:ascii="Calibri" w:cs="Calibri" w:eastAsia="Calibri" w:hAnsi="Calibri"/>
          <w:color w:val="1A1A2E"/>
          <w:sz w:val="22"/>
          <w:szCs w:val="22"/>
        </w:rPr>
        <w:t xml:space="preserve">Google re:Work. "Guide: Understand Team Effectiveness — Identify Dynamics of Effective Teams." rework.withgoogle.com. https://rework.withgoogle.com/guides/understanding-team-effectiveness/steps/identify-dynamics-of-effective-teams/</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Gallup Q12®</w:t>
      </w:r>
    </w:p>
    <w:p>
      <w:pPr>
        <w:pStyle w:val="ListParagraph"/>
        <w:numPr>
          <w:ilvl w:val="0"/>
          <w:numId w:val="2"/>
        </w:numPr>
        <w:spacing w:after="40" w:before="40"/>
      </w:pPr>
      <w:r>
        <w:rPr>
          <w:rFonts w:ascii="Calibri" w:cs="Calibri" w:eastAsia="Calibri" w:hAnsi="Calibri"/>
          <w:color w:val="1A1A2E"/>
          <w:sz w:val="22"/>
          <w:szCs w:val="22"/>
        </w:rPr>
        <w:t xml:space="preserve">Gallup, Inc. "Gallup's Q12 Employee Engagement Survey." gallup.com. October 26, 2021. https://www.gallup.com/workplace/356063/gallup-q12-employee-engagement-survey.aspx</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Amy Edmondson — Psychological Safety</w:t>
      </w:r>
    </w:p>
    <w:p>
      <w:pPr>
        <w:pStyle w:val="ListParagraph"/>
        <w:numPr>
          <w:ilvl w:val="0"/>
          <w:numId w:val="2"/>
        </w:numPr>
        <w:spacing w:after="40" w:before="40"/>
      </w:pPr>
      <w:r>
        <w:rPr>
          <w:rFonts w:ascii="Calibri" w:cs="Calibri" w:eastAsia="Calibri" w:hAnsi="Calibri"/>
          <w:color w:val="1A1A2E"/>
          <w:sz w:val="22"/>
          <w:szCs w:val="22"/>
        </w:rPr>
        <w:t xml:space="preserve">Edmondson, Amy C. "Psychological Safety and Learning Behavior in Work Teams." Administrative Science Quarterly 44, no. 2 (1999): 350–383. https://dash.harvard.edu/entities/publication/13a7b031-0fdd-45ec-a7e0-2b80e2bc679f</w:t>
      </w:r>
    </w:p>
    <w:p>
      <w:pPr>
        <w:pStyle w:val="ListParagraph"/>
        <w:numPr>
          <w:ilvl w:val="0"/>
          <w:numId w:val="2"/>
        </w:numPr>
        <w:spacing w:after="40" w:before="40"/>
      </w:pPr>
      <w:r>
        <w:rPr>
          <w:rFonts w:ascii="Calibri" w:cs="Calibri" w:eastAsia="Calibri" w:hAnsi="Calibri"/>
          <w:color w:val="1A1A2E"/>
          <w:sz w:val="22"/>
          <w:szCs w:val="22"/>
        </w:rPr>
        <w:t xml:space="preserve">Edmondson, Amy C. The Fearless Organization: Creating Psychological Safety in the Workplace for Learning, Innovation, and Growth. Wiley, 2018. HBS Faculty Page: https://www.hbs.edu/faculty/Pages/item.aspx?num=46482</w:t>
      </w:r>
    </w:p>
    <w:p>
      <w:pPr>
        <w:pStyle w:val="ListParagraph"/>
        <w:numPr>
          <w:ilvl w:val="0"/>
          <w:numId w:val="2"/>
        </w:numPr>
        <w:spacing w:after="40" w:before="40"/>
      </w:pPr>
      <w:r>
        <w:rPr>
          <w:rFonts w:ascii="Calibri" w:cs="Calibri" w:eastAsia="Calibri" w:hAnsi="Calibri"/>
          <w:color w:val="1A1A2E"/>
          <w:sz w:val="22"/>
          <w:szCs w:val="22"/>
        </w:rPr>
        <w:t xml:space="preserve">Harvard Business School. "Psychological Safety and Learning Behavior in Work Teams — Article." hbs.edu. https://www.hbs.edu/faculty/Pages/item.aspx?num=2959</w:t>
      </w:r>
    </w:p>
    <w:p>
      <w:pPr>
        <w:pStyle w:val="ListParagraph"/>
        <w:numPr>
          <w:ilvl w:val="0"/>
          <w:numId w:val="2"/>
        </w:numPr>
        <w:spacing w:after="40" w:before="40"/>
      </w:pPr>
      <w:r>
        <w:rPr>
          <w:rFonts w:ascii="Calibri" w:cs="Calibri" w:eastAsia="Calibri" w:hAnsi="Calibri"/>
          <w:color w:val="1A1A2E"/>
          <w:sz w:val="22"/>
          <w:szCs w:val="22"/>
        </w:rPr>
        <w:t xml:space="preserve">University of South Carolina Human Resources. "Psychological Safety Assessment and Action Framework." sc.edu. https://www.sc.edu/about/offices_and_divisions/human_resources/docs/team_psychological_safety_assessment.pdf</w:t>
      </w:r>
    </w:p>
    <w:p>
      <w:pPr>
        <w:spacing w:after="60" w:before="60"/>
      </w:pPr>
      <w:r>
        <w:t xml:space="preserve"/>
      </w:r>
    </w:p>
    <w:p>
      <w:pPr>
        <w:pStyle w:val="Heading3"/>
        <w:spacing w:after="100" w:before="220"/>
      </w:pPr>
      <w:r>
        <w:rPr>
          <w:rFonts w:ascii="Calibri" w:cs="Calibri" w:eastAsia="Calibri" w:hAnsi="Calibri"/>
          <w:b/>
          <w:bCs/>
          <w:color w:val="9B1FBF"/>
          <w:sz w:val="24"/>
          <w:szCs w:val="24"/>
        </w:rPr>
        <w:t xml:space="preserve">Supporting Academic References</w:t>
      </w:r>
    </w:p>
    <w:p>
      <w:pPr>
        <w:pStyle w:val="ListParagraph"/>
        <w:numPr>
          <w:ilvl w:val="0"/>
          <w:numId w:val="2"/>
        </w:numPr>
        <w:spacing w:after="40" w:before="40"/>
      </w:pPr>
      <w:r>
        <w:rPr>
          <w:rFonts w:ascii="Calibri" w:cs="Calibri" w:eastAsia="Calibri" w:hAnsi="Calibri"/>
          <w:color w:val="1A1A2E"/>
          <w:sz w:val="22"/>
          <w:szCs w:val="22"/>
        </w:rPr>
        <w:t xml:space="preserve">Newman, A., Donohue, R., &amp; Eva, N. (2017). "Psychological safety: A systematic review of the literature." Human Resource Management Review 27(3): 521–535.</w:t>
      </w:r>
    </w:p>
    <w:p>
      <w:pPr>
        <w:pStyle w:val="ListParagraph"/>
        <w:numPr>
          <w:ilvl w:val="0"/>
          <w:numId w:val="2"/>
        </w:numPr>
        <w:spacing w:after="40" w:before="40"/>
      </w:pPr>
      <w:r>
        <w:rPr>
          <w:rFonts w:ascii="Calibri" w:cs="Calibri" w:eastAsia="Calibri" w:hAnsi="Calibri"/>
          <w:color w:val="1A1A2E"/>
          <w:sz w:val="22"/>
          <w:szCs w:val="22"/>
        </w:rPr>
        <w:t xml:space="preserve">Edmondson, A. (2019). "Psychological Safety and Learning Behavior in Work Teams" (retrospective). Annual Review of Organizational Psychology and Organizational Behavior. https://www.annualreviews.org/docserver/fulltext/orgpsych/10/1/annurev-orgpsych-120920-055217.pdf</w:t>
      </w:r>
    </w:p>
    <w:p>
      <w:pPr>
        <w:pStyle w:val="ListParagraph"/>
        <w:numPr>
          <w:ilvl w:val="0"/>
          <w:numId w:val="2"/>
        </w:numPr>
        <w:spacing w:after="40" w:before="40"/>
      </w:pPr>
      <w:r>
        <w:rPr>
          <w:rFonts w:ascii="Calibri" w:cs="Calibri" w:eastAsia="Calibri" w:hAnsi="Calibri"/>
          <w:color w:val="1A1A2E"/>
          <w:sz w:val="22"/>
          <w:szCs w:val="22"/>
        </w:rPr>
        <w:t xml:space="preserve">sprad.io. "Psychological Safety Survey Questions for Teams: Spot Risks Before Performance Drops." https://sprad.io/resources/psychological-safety-survey-questions-for-teams-spot-risks-before-performance-drops</w:t>
      </w:r>
    </w:p>
    <w:p>
      <w:pPr>
        <w:spacing w:after="60" w:before="60"/>
      </w:pPr>
      <w:r>
        <w:t xml:space="preserve"/>
      </w:r>
    </w:p>
    <w:p>
      <w:pPr>
        <w:pBdr>
          <w:bottom w:val="single" w:color="9B1FBF" w:sz="2"/>
        </w:pBdr>
        <w:spacing w:after="80" w:before="80"/>
      </w:pPr>
      <w:r>
        <w:t xml:space="preserve"/>
      </w:r>
    </w:p>
    <w:p>
      <w:pPr>
        <w:spacing w:after="60" w:before="60"/>
      </w:pPr>
      <w:r>
        <w:t xml:space="preserve"/>
      </w:r>
    </w:p>
    <w:p>
      <w:pPr>
        <w:spacing w:after="20" w:before="60"/>
        <w:jc w:val="center"/>
      </w:pPr>
      <w:r>
        <w:rPr>
          <w:rFonts w:ascii="Calibri" w:cs="Calibri" w:eastAsia="Calibri" w:hAnsi="Calibri"/>
          <w:i/>
          <w:iCs/>
          <w:color w:val="888888"/>
          <w:sz w:val="20"/>
          <w:szCs w:val="20"/>
        </w:rPr>
        <w:t xml:space="preserve">BOOST! Pulse — Research-Based Survey Foundation v1.0</w:t>
      </w:r>
    </w:p>
    <w:p>
      <w:pPr>
        <w:spacing w:after="60" w:before="0"/>
        <w:jc w:val="center"/>
      </w:pPr>
      <w:r>
        <w:rPr>
          <w:rFonts w:ascii="Calibri" w:cs="Calibri" w:eastAsia="Calibri" w:hAnsi="Calibri"/>
          <w:i/>
          <w:iCs/>
          <w:color w:val="AAAAAA"/>
          <w:sz w:val="18"/>
          <w:szCs w:val="18"/>
        </w:rPr>
        <w:t xml:space="preserve">Confidential — Internal Product Research | June 28, 2026</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r>
      <w:rPr>
        <w:rFonts w:ascii="Calibri" w:cs="Calibri" w:eastAsia="Calibri" w:hAnsi="Calibri"/>
        <w:i/>
        <w:iCs/>
        <w:color w:val="AAAAAA"/>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Great Place To Work®, Trust Index™ Survey and Trust Model. greatplacetowork.com, </w:t>
      </w:r>
      <w:hyperlink w:history="1" r:id="rIdgarpzgan6i1nf1x83mjnr">
        <w:r>
          <w:rPr>
            <w:rStyle w:val="Hyperlink"/>
            <w:rFonts w:ascii="Calibri" w:cs="Calibri" w:eastAsia="Calibri" w:hAnsi="Calibri"/>
            <w:sz w:val="18"/>
            <w:szCs w:val="18"/>
          </w:rPr>
          <w:t xml:space="preserve">https://www.greatplacetowork.com/solutions/certification</w:t>
        </w:r>
      </w:hyperlink>
    </w:p>
  </w:footnote>
  <w:footnote w:id="2">
    <w:p>
      <w:r>
        <w:rPr>
          <w:rStyle w:val="FootnoteReference"/>
        </w:rPr>
        <w:footnoteRef/>
      </w:r>
      <w:r>
        <w:rPr>
          <w:rFonts w:ascii="Calibri" w:cs="Calibri" w:eastAsia="Calibri" w:hAnsi="Calibri"/>
          <w:sz w:val="18"/>
          <w:szCs w:val="18"/>
        </w:rPr>
        <w:t xml:space="preserve">Great Place To Work®, "Trust Model." greatplacetowork.me, </w:t>
      </w:r>
      <w:hyperlink w:history="1" r:id="rIdkae0iztn0ovpuupm2goum">
        <w:r>
          <w:rPr>
            <w:rStyle w:val="Hyperlink"/>
            <w:rFonts w:ascii="Calibri" w:cs="Calibri" w:eastAsia="Calibri" w:hAnsi="Calibri"/>
            <w:sz w:val="18"/>
            <w:szCs w:val="18"/>
          </w:rPr>
          <w:t xml:space="preserve">https://greatplacetowork.me/trust-model/</w:t>
        </w:r>
      </w:hyperlink>
    </w:p>
  </w:footnote>
  <w:footnote w:id="3">
    <w:p>
      <w:r>
        <w:rPr>
          <w:rStyle w:val="FootnoteReference"/>
        </w:rPr>
        <w:footnoteRef/>
      </w:r>
      <w:r>
        <w:rPr>
          <w:rFonts w:ascii="Calibri" w:cs="Calibri" w:eastAsia="Calibri" w:hAnsi="Calibri"/>
          <w:sz w:val="18"/>
          <w:szCs w:val="18"/>
        </w:rPr>
        <w:t xml:space="preserve">The NonProfit Times, "The 2024 Best NPOs To Work For: Data Shows Satisfaction Slipping in Some Areas," April 23, 2024. </w:t>
      </w:r>
      <w:hyperlink w:history="1" r:id="rIdysbyuxxp5e2yyc05obnqk">
        <w:r>
          <w:rPr>
            <w:rStyle w:val="Hyperlink"/>
            <w:rFonts w:ascii="Calibri" w:cs="Calibri" w:eastAsia="Calibri" w:hAnsi="Calibri"/>
            <w:sz w:val="18"/>
            <w:szCs w:val="18"/>
          </w:rPr>
          <w:t xml:space="preserve">https://thenonprofittimes.com/npt_articles/the-2024-best-npos-to-work-for-data-shows-satisfaction-slipping-in-some-areas/</w:t>
        </w:r>
      </w:hyperlink>
    </w:p>
  </w:footnote>
  <w:footnote w:id="4">
    <w:p>
      <w:r>
        <w:rPr>
          <w:rStyle w:val="FootnoteReference"/>
        </w:rPr>
        <w:footnoteRef/>
      </w:r>
      <w:r>
        <w:rPr>
          <w:rFonts w:ascii="Calibri" w:cs="Calibri" w:eastAsia="Calibri" w:hAnsi="Calibri"/>
          <w:sz w:val="18"/>
          <w:szCs w:val="18"/>
        </w:rPr>
        <w:t xml:space="preserve">The NonProfit Times, "Best Nonprofits To Work For: Flexibility, Benefits And Feeling Appreciated Key Top Nonprofits," April 1, 2019. </w:t>
      </w:r>
      <w:hyperlink w:history="1" r:id="rIdzbklesrg7g2l_o-mmqd0x">
        <w:r>
          <w:rPr>
            <w:rStyle w:val="Hyperlink"/>
            <w:rFonts w:ascii="Calibri" w:cs="Calibri" w:eastAsia="Calibri" w:hAnsi="Calibri"/>
            <w:sz w:val="18"/>
            <w:szCs w:val="18"/>
          </w:rPr>
          <w:t xml:space="preserve">https://thenonprofittimes.com/npt_articles/flexibility-benefits-and-feeling-appreciated-key-top-nonprofits/</w:t>
        </w:r>
      </w:hyperlink>
    </w:p>
  </w:footnote>
  <w:footnote w:id="5">
    <w:p>
      <w:r>
        <w:rPr>
          <w:rStyle w:val="FootnoteReference"/>
        </w:rPr>
        <w:footnoteRef/>
      </w:r>
      <w:r>
        <w:rPr>
          <w:rFonts w:ascii="Calibri" w:cs="Calibri" w:eastAsia="Calibri" w:hAnsi="Calibri"/>
          <w:sz w:val="18"/>
          <w:szCs w:val="18"/>
        </w:rPr>
        <w:t xml:space="preserve">Google re:Work, "Guide: Understand team effectiveness — Identify dynamics of effective teams." </w:t>
      </w:r>
      <w:hyperlink w:history="1" r:id="rIdyczcu7fcwiugxvwnypixw">
        <w:r>
          <w:rPr>
            <w:rStyle w:val="Hyperlink"/>
            <w:rFonts w:ascii="Calibri" w:cs="Calibri" w:eastAsia="Calibri" w:hAnsi="Calibri"/>
            <w:sz w:val="18"/>
            <w:szCs w:val="18"/>
          </w:rPr>
          <w:t xml:space="preserve">https://rework.withgoogle.com/guides/understanding-team-effectiveness/steps/identify-dynamics-of-effective-teams/</w:t>
        </w:r>
      </w:hyperlink>
    </w:p>
  </w:footnote>
  <w:footnote w:id="6">
    <w:p>
      <w:r>
        <w:rPr>
          <w:rStyle w:val="FootnoteReference"/>
        </w:rPr>
        <w:footnoteRef/>
      </w:r>
      <w:r>
        <w:rPr>
          <w:rFonts w:ascii="Calibri" w:cs="Calibri" w:eastAsia="Calibri" w:hAnsi="Calibri"/>
          <w:sz w:val="18"/>
          <w:szCs w:val="18"/>
        </w:rPr>
        <w:t xml:space="preserve">Gallup, "Gallup's Q12 Employee Engagement Survey." gallup.com, October 26, 2021. </w:t>
      </w:r>
      <w:hyperlink w:history="1" r:id="rId6okxqihk_rywybmvtyujm">
        <w:r>
          <w:rPr>
            <w:rStyle w:val="Hyperlink"/>
            <w:rFonts w:ascii="Calibri" w:cs="Calibri" w:eastAsia="Calibri" w:hAnsi="Calibri"/>
            <w:sz w:val="18"/>
            <w:szCs w:val="18"/>
          </w:rPr>
          <w:t xml:space="preserve">https://www.gallup.com/workplace/356063/gallup-q12-employee-engagement-survey.aspx</w:t>
        </w:r>
      </w:hyperlink>
    </w:p>
  </w:footnote>
  <w:footnote w:id="7">
    <w:p>
      <w:r>
        <w:rPr>
          <w:rStyle w:val="FootnoteReference"/>
        </w:rPr>
        <w:footnoteRef/>
      </w:r>
      <w:r>
        <w:rPr>
          <w:rFonts w:ascii="Calibri" w:cs="Calibri" w:eastAsia="Calibri" w:hAnsi="Calibri"/>
          <w:sz w:val="18"/>
          <w:szCs w:val="18"/>
        </w:rPr>
        <w:t xml:space="preserve">Edmondson, Amy C. "Psychological Safety and Learning Behavior in Work Teams." Administrative Science Quarterly 44, no. 2 (1999): 350–383. </w:t>
      </w:r>
      <w:hyperlink w:history="1" r:id="rIdlrfmq4tjmmc0nutt3ju_8">
        <w:r>
          <w:rPr>
            <w:rStyle w:val="Hyperlink"/>
            <w:rFonts w:ascii="Calibri" w:cs="Calibri" w:eastAsia="Calibri" w:hAnsi="Calibri"/>
            <w:sz w:val="18"/>
            <w:szCs w:val="18"/>
          </w:rPr>
          <w:t xml:space="preserve">https://dash.harvard.edu/entities/publication/13a7b031-0fdd-45ec-a7e0-2b80e2bc679f</w:t>
        </w:r>
      </w:hyperlink>
    </w:p>
  </w:footnote>
  <w:footnote w:id="8">
    <w:p>
      <w:r>
        <w:rPr>
          <w:rStyle w:val="FootnoteReference"/>
        </w:rPr>
        <w:footnoteRef/>
      </w:r>
      <w:r>
        <w:rPr>
          <w:rFonts w:ascii="Calibri" w:cs="Calibri" w:eastAsia="Calibri" w:hAnsi="Calibri"/>
          <w:sz w:val="18"/>
          <w:szCs w:val="18"/>
        </w:rPr>
        <w:t xml:space="preserve">Edmondson, Amy C. The Fearless Organization: Creating Psychological Safety in the Workplace for Learning, Innovation, and Growth. Wiley, 2018. Harvard Business School Faculty page: </w:t>
      </w:r>
      <w:hyperlink w:history="1" r:id="rIdwxzlifir8dolaalpja2aj">
        <w:r>
          <w:rPr>
            <w:rStyle w:val="Hyperlink"/>
            <w:rFonts w:ascii="Calibri" w:cs="Calibri" w:eastAsia="Calibri" w:hAnsi="Calibri"/>
            <w:sz w:val="18"/>
            <w:szCs w:val="18"/>
          </w:rPr>
          <w:t xml:space="preserve">https://www.hbs.edu/faculty/Pages/item.aspx?num=46482</w:t>
        </w:r>
      </w:hyperlink>
    </w:p>
  </w:footnote>
  <w:footnote w:id="9">
    <w:p>
      <w:r>
        <w:rPr>
          <w:rStyle w:val="FootnoteReference"/>
        </w:rPr>
        <w:footnoteRef/>
      </w:r>
      <w:r>
        <w:rPr>
          <w:rFonts w:ascii="Calibri" w:cs="Calibri" w:eastAsia="Calibri" w:hAnsi="Calibri"/>
          <w:sz w:val="18"/>
          <w:szCs w:val="18"/>
        </w:rPr>
        <w:t xml:space="preserve">University of South Carolina HR, "Psychological Safety Assessment and Action Framework" (adapted from Edmondson 1999). </w:t>
      </w:r>
      <w:hyperlink w:history="1" r:id="rIddj6edfx95hzzqzd5ndjvl">
        <w:r>
          <w:rPr>
            <w:rStyle w:val="Hyperlink"/>
            <w:rFonts w:ascii="Calibri" w:cs="Calibri" w:eastAsia="Calibri" w:hAnsi="Calibri"/>
            <w:sz w:val="18"/>
            <w:szCs w:val="18"/>
          </w:rPr>
          <w:t xml:space="preserve">https://www.sc.edu/about/offices_and_divisions/human_resources/docs/team_psychological_safety_assessment.pdf</w:t>
        </w:r>
      </w:hyperlink>
    </w:p>
  </w:footnote>
  <w:footnote w:id="10">
    <w:p>
      <w:r>
        <w:rPr>
          <w:rStyle w:val="FootnoteReference"/>
        </w:rPr>
        <w:footnoteRef/>
      </w:r>
      <w:r>
        <w:rPr>
          <w:rFonts w:ascii="Calibri" w:cs="Calibri" w:eastAsia="Calibri" w:hAnsi="Calibri"/>
          <w:sz w:val="18"/>
          <w:szCs w:val="18"/>
        </w:rPr>
        <w:t xml:space="preserve">Enterprise Engagement Alliance, "Trust, Proven: How Great Place To Work Turned Culture Into a Measurable Growth Engine." </w:t>
      </w:r>
      <w:hyperlink w:history="1" r:id="rIdfuybigwptdsm0dy-_ryhc">
        <w:r>
          <w:rPr>
            <w:rStyle w:val="Hyperlink"/>
            <w:rFonts w:ascii="Calibri" w:cs="Calibri" w:eastAsia="Calibri" w:hAnsi="Calibri"/>
            <w:sz w:val="18"/>
            <w:szCs w:val="18"/>
          </w:rPr>
          <w:t xml:space="preserve">https://www.enterpriseengagement.org/articles/content/8635598/trust-proven-how-great-place-to-work-turned-culture-into-a-measurable-growth-engine/</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Calibri" w:cs="Calibri" w:eastAsia="Calibri" w:hAnsi="Calibri"/>
        <w:i/>
        <w:iCs/>
        <w:color w:val="999999"/>
        <w:sz w:val="16"/>
        <w:szCs w:val="16"/>
      </w:rPr>
      <w:t xml:space="preserve">BOOST! Pulse — Research-Based Survey Foundation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1F5C"/>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1F5C"/>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9B1F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garpzgan6i1nf1x83mjnr" Type="http://schemas.openxmlformats.org/officeDocument/2006/relationships/hyperlink" Target="https://www.greatplacetowork.com/solutions/certification" TargetMode="External"/><Relationship Id="rIdkae0iztn0ovpuupm2goum" Type="http://schemas.openxmlformats.org/officeDocument/2006/relationships/hyperlink" Target="https://greatplacetowork.me/trust-model/" TargetMode="External"/><Relationship Id="rIdysbyuxxp5e2yyc05obnqk" Type="http://schemas.openxmlformats.org/officeDocument/2006/relationships/hyperlink" Target="https://thenonprofittimes.com/npt_articles/the-2024-best-npos-to-work-for-data-shows-satisfaction-slipping-in-some-areas/" TargetMode="External"/><Relationship Id="rIdzbklesrg7g2l_o-mmqd0x" Type="http://schemas.openxmlformats.org/officeDocument/2006/relationships/hyperlink" Target="https://thenonprofittimes.com/npt_articles/flexibility-benefits-and-feeling-appreciated-key-top-nonprofits/" TargetMode="External"/><Relationship Id="rIdyczcu7fcwiugxvwnypixw" Type="http://schemas.openxmlformats.org/officeDocument/2006/relationships/hyperlink" Target="https://rework.withgoogle.com/guides/understanding-team-effectiveness/steps/identify-dynamics-of-effective-teams/" TargetMode="External"/><Relationship Id="rId6okxqihk_rywybmvtyujm" Type="http://schemas.openxmlformats.org/officeDocument/2006/relationships/hyperlink" Target="https://www.gallup.com/workplace/356063/gallup-q12-employee-engagement-survey.aspx" TargetMode="External"/><Relationship Id="rIdlrfmq4tjmmc0nutt3ju_8" Type="http://schemas.openxmlformats.org/officeDocument/2006/relationships/hyperlink" Target="https://dash.harvard.edu/entities/publication/13a7b031-0fdd-45ec-a7e0-2b80e2bc679f" TargetMode="External"/><Relationship Id="rIdwxzlifir8dolaalpja2aj" Type="http://schemas.openxmlformats.org/officeDocument/2006/relationships/hyperlink" Target="https://www.hbs.edu/faculty/Pages/item.aspx?num=46482" TargetMode="External"/><Relationship Id="rIddj6edfx95hzzqzd5ndjvl" Type="http://schemas.openxmlformats.org/officeDocument/2006/relationships/hyperlink" Target="https://www.sc.edu/about/offices_and_divisions/human_resources/docs/team_psychological_safety_assessment.pdf" TargetMode="External"/><Relationship Id="rIdfuybigwptdsm0dy-_ryhc" Type="http://schemas.openxmlformats.org/officeDocument/2006/relationships/hyperlink" Target="https://www.enterpriseengagement.org/articles/content/8635598/trust-proven-how-great-place-to-work-turned-culture-into-a-measurable-growth-engine/"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2026-06-28T21:21:30.973Z</dcterms:created>
  <dcterms:modified xsi:type="dcterms:W3CDTF">2026-06-28T21:21:30.973Z</dcterms:modified>
</cp:coreProperties>
</file>

<file path=docProps/custom.xml><?xml version="1.0" encoding="utf-8"?>
<Properties xmlns="http://schemas.openxmlformats.org/officeDocument/2006/custom-properties" xmlns:vt="http://schemas.openxmlformats.org/officeDocument/2006/docPropsVTypes"/>
</file>