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C03AE" w14:textId="6C68542F" w:rsidR="00C20F12" w:rsidRDefault="0061775F">
      <w:r>
        <w:t xml:space="preserve">In this assignment, Python and </w:t>
      </w:r>
      <w:proofErr w:type="spellStart"/>
      <w:r>
        <w:t>SQLAlchemy</w:t>
      </w:r>
      <w:proofErr w:type="spellEnd"/>
      <w:r>
        <w:t xml:space="preserve"> is used in data exploration. In addition to </w:t>
      </w:r>
      <w:proofErr w:type="spellStart"/>
      <w:r w:rsidRPr="0061775F">
        <w:t>SQLAlchemy</w:t>
      </w:r>
      <w:proofErr w:type="spellEnd"/>
      <w:r w:rsidRPr="0061775F">
        <w:t xml:space="preserve"> ORM queries</w:t>
      </w:r>
      <w:r>
        <w:t xml:space="preserve"> SQL queries were also used to perform same analysis. Pandas, </w:t>
      </w:r>
      <w:proofErr w:type="spellStart"/>
      <w:r>
        <w:t>Numpy</w:t>
      </w:r>
      <w:proofErr w:type="spellEnd"/>
      <w:r>
        <w:t xml:space="preserve"> and Matplotlib was also used. Once this primary analysis was completed, FLASK API was used on the above queries to develop an App. </w:t>
      </w:r>
    </w:p>
    <w:p w14:paraId="3B3A252E" w14:textId="1734A923" w:rsidR="00620AD9" w:rsidRDefault="00620AD9">
      <w:r>
        <w:t xml:space="preserve">For date, format to be used is YYYY-MM-DD. Below is description from the assignment for the </w:t>
      </w:r>
      <w:proofErr w:type="gramStart"/>
      <w:r>
        <w:t>APP</w:t>
      </w:r>
      <w:proofErr w:type="gramEnd"/>
    </w:p>
    <w:p w14:paraId="4934FEA8" w14:textId="77777777" w:rsidR="00620AD9" w:rsidRPr="00620AD9" w:rsidRDefault="00620AD9" w:rsidP="00620AD9">
      <w:pPr>
        <w:numPr>
          <w:ilvl w:val="0"/>
          <w:numId w:val="1"/>
        </w:numPr>
        <w:spacing w:before="150" w:after="0" w:line="2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</w:p>
    <w:p w14:paraId="111A4109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0" w:line="20" w:lineRule="atLeast"/>
      </w:pPr>
      <w:r w:rsidRPr="00620AD9">
        <w:t>Start at the homepage.</w:t>
      </w:r>
    </w:p>
    <w:p w14:paraId="373DAD1E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0" w:line="20" w:lineRule="atLeast"/>
      </w:pPr>
      <w:r w:rsidRPr="00620AD9">
        <w:t>List all the available routes.</w:t>
      </w:r>
    </w:p>
    <w:p w14:paraId="5427303D" w14:textId="77777777" w:rsidR="00620AD9" w:rsidRPr="00620AD9" w:rsidRDefault="00620AD9" w:rsidP="00620AD9">
      <w:pPr>
        <w:numPr>
          <w:ilvl w:val="0"/>
          <w:numId w:val="1"/>
        </w:numPr>
        <w:spacing w:before="150" w:after="0" w:line="2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/v1.0/precipitation</w:t>
      </w:r>
    </w:p>
    <w:p w14:paraId="7E7273EA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0" w:line="20" w:lineRule="atLeast"/>
      </w:pPr>
      <w:r w:rsidRPr="00620AD9">
        <w:t>Convert the query results from your precipitation analysis (i.e. retrieve only the last 12 months of data) to a dictionary using </w:t>
      </w: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date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t>as the key and </w:t>
      </w:r>
      <w:proofErr w:type="spellStart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prcp</w:t>
      </w:r>
      <w:proofErr w:type="spellEnd"/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t>as the value.</w:t>
      </w:r>
    </w:p>
    <w:p w14:paraId="07D5DD75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0" w:line="20" w:lineRule="atLeast"/>
      </w:pPr>
      <w:r w:rsidRPr="00620AD9">
        <w:t>Return the JSON representation of your dictionary.</w:t>
      </w:r>
    </w:p>
    <w:p w14:paraId="329D9850" w14:textId="77777777" w:rsidR="00620AD9" w:rsidRPr="00620AD9" w:rsidRDefault="00620AD9" w:rsidP="00620AD9">
      <w:pPr>
        <w:numPr>
          <w:ilvl w:val="0"/>
          <w:numId w:val="1"/>
        </w:numPr>
        <w:spacing w:before="150" w:after="0" w:line="2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/v1.0/stations</w:t>
      </w:r>
    </w:p>
    <w:p w14:paraId="62E9017D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100" w:afterAutospacing="1" w:line="20" w:lineRule="atLeast"/>
      </w:pPr>
      <w:r w:rsidRPr="00620AD9">
        <w:t>Return a JSON list of stations from the dataset.</w:t>
      </w:r>
    </w:p>
    <w:p w14:paraId="1FEAFCBE" w14:textId="77777777" w:rsidR="00620AD9" w:rsidRPr="00620AD9" w:rsidRDefault="00620AD9" w:rsidP="00620AD9">
      <w:pPr>
        <w:numPr>
          <w:ilvl w:val="0"/>
          <w:numId w:val="1"/>
        </w:numPr>
        <w:spacing w:before="150" w:after="0" w:line="2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</w:t>
      </w:r>
      <w:proofErr w:type="spellStart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tobs</w:t>
      </w:r>
      <w:proofErr w:type="spellEnd"/>
    </w:p>
    <w:p w14:paraId="14EEC0D2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100" w:afterAutospacing="1" w:line="20" w:lineRule="atLeast"/>
      </w:pPr>
      <w:r w:rsidRPr="00620AD9">
        <w:t>Query the dates and temperature observations of the most-active station for the previous year of data.</w:t>
      </w:r>
    </w:p>
    <w:p w14:paraId="2667E9D2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100" w:afterAutospacing="1" w:line="20" w:lineRule="atLeast"/>
      </w:pPr>
      <w:r w:rsidRPr="00620AD9">
        <w:t>Return a JSON list of temperature observations for the previous year.</w:t>
      </w:r>
    </w:p>
    <w:p w14:paraId="7B81D33C" w14:textId="77777777" w:rsidR="00620AD9" w:rsidRPr="00620AD9" w:rsidRDefault="00620AD9" w:rsidP="00620AD9">
      <w:pPr>
        <w:numPr>
          <w:ilvl w:val="0"/>
          <w:numId w:val="1"/>
        </w:numPr>
        <w:spacing w:before="150" w:after="0" w:line="20" w:lineRule="atLeast"/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</w:pP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t>and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</w:t>
      </w:r>
      <w:proofErr w:type="spellStart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api</w:t>
      </w:r>
      <w:proofErr w:type="spellEnd"/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/v1.0/&lt;start&gt;/&lt;end&gt;</w:t>
      </w:r>
    </w:p>
    <w:p w14:paraId="3E919C9C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100" w:afterAutospacing="1" w:line="20" w:lineRule="atLeast"/>
      </w:pPr>
      <w:r w:rsidRPr="00620AD9">
        <w:t>Return a JSON list of the minimum temperature, the average temperature, and the maximum temperature for a specified start or start-end range.</w:t>
      </w:r>
    </w:p>
    <w:p w14:paraId="7331D13A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100" w:afterAutospacing="1" w:line="20" w:lineRule="atLeast"/>
      </w:pPr>
      <w:r w:rsidRPr="00620AD9">
        <w:t>For a specified start, calculate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620AD9">
        <w:t>,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620AD9">
        <w:t>,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 xml:space="preserve"> </w:t>
      </w:r>
      <w:r w:rsidRPr="00620AD9">
        <w:t>and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t>for all the dates greater than or equal to the start date.</w:t>
      </w:r>
    </w:p>
    <w:p w14:paraId="5934A5FD" w14:textId="77777777" w:rsidR="00620AD9" w:rsidRPr="00620AD9" w:rsidRDefault="00620AD9" w:rsidP="00620AD9">
      <w:pPr>
        <w:numPr>
          <w:ilvl w:val="1"/>
          <w:numId w:val="1"/>
        </w:numPr>
        <w:spacing w:before="100" w:beforeAutospacing="1" w:after="0" w:line="20" w:lineRule="atLeast"/>
      </w:pPr>
      <w:r w:rsidRPr="00620AD9">
        <w:t>For a specified start date and end date, calculate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TMIN</w:t>
      </w:r>
      <w:r w:rsidRPr="00620AD9">
        <w:t>,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TAVG</w:t>
      </w:r>
      <w:r w:rsidRPr="00620AD9">
        <w:t>, and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rPr>
          <w:rFonts w:ascii="Consolas" w:eastAsia="Times New Roman" w:hAnsi="Consolas" w:cs="Courier New"/>
          <w:color w:val="2B2B2B"/>
          <w:kern w:val="0"/>
          <w:sz w:val="20"/>
          <w:szCs w:val="20"/>
          <w:bdr w:val="single" w:sz="6" w:space="0" w:color="808386" w:frame="1"/>
          <w:shd w:val="clear" w:color="auto" w:fill="F5F5F5"/>
          <w14:ligatures w14:val="none"/>
        </w:rPr>
        <w:t>TMAX</w:t>
      </w:r>
      <w:r w:rsidRPr="00620AD9">
        <w:rPr>
          <w:rFonts w:ascii="Roboto" w:eastAsia="Times New Roman" w:hAnsi="Roboto" w:cs="Times New Roman"/>
          <w:color w:val="2B2B2B"/>
          <w:kern w:val="0"/>
          <w:sz w:val="30"/>
          <w:szCs w:val="30"/>
          <w14:ligatures w14:val="none"/>
        </w:rPr>
        <w:t> </w:t>
      </w:r>
      <w:r w:rsidRPr="00620AD9">
        <w:t>for the dates from the start date to the end date, inclusive.</w:t>
      </w:r>
    </w:p>
    <w:p w14:paraId="4DC7A043" w14:textId="77777777" w:rsidR="00620AD9" w:rsidRDefault="00620AD9"/>
    <w:sectPr w:rsidR="00620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D43370"/>
    <w:multiLevelType w:val="multilevel"/>
    <w:tmpl w:val="3B361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hAnsiTheme="minorHAnsi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6606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5F"/>
    <w:rsid w:val="00593C0E"/>
    <w:rsid w:val="0061775F"/>
    <w:rsid w:val="00620AD9"/>
    <w:rsid w:val="009A3D02"/>
    <w:rsid w:val="00C20F12"/>
    <w:rsid w:val="00D53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0FE0A"/>
  <w15:chartTrackingRefBased/>
  <w15:docId w15:val="{89002D9B-0FD6-4917-9235-B5DE45618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7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7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7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7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7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7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7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7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7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7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7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7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7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7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7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7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7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7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7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7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7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7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7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7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7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7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7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775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20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20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4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Amar</dc:creator>
  <cp:keywords/>
  <dc:description/>
  <cp:lastModifiedBy>Patil, Amar</cp:lastModifiedBy>
  <cp:revision>1</cp:revision>
  <dcterms:created xsi:type="dcterms:W3CDTF">2024-07-06T19:18:00Z</dcterms:created>
  <dcterms:modified xsi:type="dcterms:W3CDTF">2024-07-06T19:36:00Z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6791f77-3d39-4d72-9277-ac879ec799ed_Enabled">
    <vt:lpwstr>true</vt:lpwstr>
  </property>
  <property fmtid="{D5CDD505-2E9C-101B-9397-08002B2CF9AE}" pid="3" name="MSIP_Label_36791f77-3d39-4d72-9277-ac879ec799ed_SetDate">
    <vt:lpwstr>2024-07-06T19:36:18Z</vt:lpwstr>
  </property>
  <property fmtid="{D5CDD505-2E9C-101B-9397-08002B2CF9AE}" pid="4" name="MSIP_Label_36791f77-3d39-4d72-9277-ac879ec799ed_Method">
    <vt:lpwstr>Standard</vt:lpwstr>
  </property>
  <property fmtid="{D5CDD505-2E9C-101B-9397-08002B2CF9AE}" pid="5" name="MSIP_Label_36791f77-3d39-4d72-9277-ac879ec799ed_Name">
    <vt:lpwstr>restricted-default</vt:lpwstr>
  </property>
  <property fmtid="{D5CDD505-2E9C-101B-9397-08002B2CF9AE}" pid="6" name="MSIP_Label_36791f77-3d39-4d72-9277-ac879ec799ed_SiteId">
    <vt:lpwstr>254ba93e-1f6f-48f3-90e6-e2766664b477</vt:lpwstr>
  </property>
  <property fmtid="{D5CDD505-2E9C-101B-9397-08002B2CF9AE}" pid="7" name="MSIP_Label_36791f77-3d39-4d72-9277-ac879ec799ed_ActionId">
    <vt:lpwstr>e4d7e1c5-14bc-48af-8cc7-0122dd90e09c</vt:lpwstr>
  </property>
  <property fmtid="{D5CDD505-2E9C-101B-9397-08002B2CF9AE}" pid="8" name="MSIP_Label_36791f77-3d39-4d72-9277-ac879ec799ed_ContentBits">
    <vt:lpwstr>0</vt:lpwstr>
  </property>
</Properties>
</file>