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AEDD5" w14:textId="77777777" w:rsidR="009B77F9" w:rsidRDefault="009B77F9" w:rsidP="00D65301">
      <w:pPr>
        <w:rPr>
          <w:rFonts w:ascii="Segoe UI Emoji" w:hAnsi="Segoe UI Emoji" w:cs="Segoe UI Emoji"/>
          <w:b/>
          <w:bCs/>
        </w:rPr>
      </w:pPr>
    </w:p>
    <w:p w14:paraId="1297D181" w14:textId="77777777" w:rsidR="009B77F9" w:rsidRDefault="009B77F9" w:rsidP="00D65301">
      <w:pPr>
        <w:rPr>
          <w:rFonts w:ascii="Segoe UI Emoji" w:hAnsi="Segoe UI Emoji" w:cs="Segoe UI Emoji"/>
          <w:b/>
          <w:bCs/>
        </w:rPr>
      </w:pPr>
    </w:p>
    <w:p w14:paraId="54643CAA" w14:textId="77777777" w:rsidR="009B77F9" w:rsidRDefault="009B77F9" w:rsidP="00D65301">
      <w:pPr>
        <w:rPr>
          <w:rFonts w:ascii="Segoe UI Emoji" w:hAnsi="Segoe UI Emoji" w:cs="Segoe UI Emoji"/>
          <w:b/>
          <w:bCs/>
        </w:rPr>
      </w:pPr>
    </w:p>
    <w:p w14:paraId="312A0DB1" w14:textId="77777777" w:rsidR="009B77F9" w:rsidRDefault="009B77F9" w:rsidP="00D65301">
      <w:pPr>
        <w:rPr>
          <w:rFonts w:ascii="Segoe UI Emoji" w:hAnsi="Segoe UI Emoji" w:cs="Segoe UI Emoji"/>
          <w:b/>
          <w:bCs/>
        </w:rPr>
      </w:pPr>
    </w:p>
    <w:p w14:paraId="28B631D4" w14:textId="00837784" w:rsidR="009B77F9" w:rsidRDefault="009B77F9" w:rsidP="00D6530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4E8CBD3F" wp14:editId="0D53586E">
            <wp:extent cx="5400040" cy="569969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69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FE090" w14:textId="76C278A4" w:rsidR="009B77F9" w:rsidRDefault="009B77F9" w:rsidP="00D65301">
      <w:pPr>
        <w:rPr>
          <w:rFonts w:ascii="Segoe UI Emoji" w:hAnsi="Segoe UI Emoji" w:cs="Segoe UI Emoji"/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58CB62DC" wp14:editId="2E76ACA8">
                <wp:extent cx="300355" cy="300355"/>
                <wp:effectExtent l="0" t="0" r="0" b="0"/>
                <wp:docPr id="6" name="Rectángulo 6" descr=", generada por 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D91873" id="Rectángulo 6" o:spid="_x0000_s1026" alt=", generada por IA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2FEB703" wp14:editId="15428181">
                <wp:extent cx="300355" cy="300355"/>
                <wp:effectExtent l="0" t="0" r="0" b="0"/>
                <wp:docPr id="7" name="Rectángulo 7" descr=", generada por 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2573AF" id="Rectángulo 7" o:spid="_x0000_s1026" alt=", generada por IA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76CB9081" w14:textId="4F54A4AE" w:rsidR="009B77F9" w:rsidRDefault="009B77F9" w:rsidP="00D6530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EDA:</w:t>
      </w:r>
    </w:p>
    <w:p w14:paraId="63371264" w14:textId="4AB2BD85" w:rsidR="009B77F9" w:rsidRDefault="009B77F9" w:rsidP="00D6530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Daniel Carrasco</w:t>
      </w:r>
    </w:p>
    <w:p w14:paraId="71826919" w14:textId="393FF4F2" w:rsidR="009B77F9" w:rsidRDefault="009B77F9" w:rsidP="00D6530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Alejandro Cantero</w:t>
      </w:r>
    </w:p>
    <w:p w14:paraId="3FAD64A6" w14:textId="77777777" w:rsidR="009B77F9" w:rsidRDefault="009B77F9" w:rsidP="00D65301">
      <w:pPr>
        <w:rPr>
          <w:rFonts w:ascii="Segoe UI Emoji" w:hAnsi="Segoe UI Emoji" w:cs="Segoe UI Emoji"/>
          <w:b/>
          <w:bCs/>
        </w:rPr>
      </w:pPr>
    </w:p>
    <w:p w14:paraId="29742190" w14:textId="5F3DABB4" w:rsidR="00D65301" w:rsidRPr="00E93731" w:rsidRDefault="00D65301" w:rsidP="00D65301">
      <w:pPr>
        <w:rPr>
          <w:rFonts w:ascii="Times New Roman" w:hAnsi="Times New Roman" w:cs="Times New Roman"/>
          <w:b/>
          <w:bCs/>
        </w:rPr>
      </w:pPr>
      <w:r w:rsidRPr="00E93731">
        <w:rPr>
          <w:rFonts w:ascii="Segoe UI Emoji" w:hAnsi="Segoe UI Emoji" w:cs="Segoe UI Emoji"/>
          <w:b/>
          <w:bCs/>
        </w:rPr>
        <w:lastRenderedPageBreak/>
        <w:t>📊</w:t>
      </w:r>
      <w:r w:rsidRPr="00E93731">
        <w:rPr>
          <w:rFonts w:ascii="Times New Roman" w:hAnsi="Times New Roman" w:cs="Times New Roman"/>
          <w:b/>
          <w:bCs/>
        </w:rPr>
        <w:t xml:space="preserve"> Análisis Exploratorio de Datos (EDA) </w:t>
      </w:r>
    </w:p>
    <w:p w14:paraId="67384978" w14:textId="77777777" w:rsidR="00D65301" w:rsidRPr="00E93731" w:rsidRDefault="00D65301" w:rsidP="00D65301">
      <w:pPr>
        <w:rPr>
          <w:rFonts w:ascii="Times New Roman" w:hAnsi="Times New Roman" w:cs="Times New Roman"/>
          <w:b/>
          <w:bCs/>
        </w:rPr>
      </w:pPr>
      <w:r w:rsidRPr="00E93731">
        <w:rPr>
          <w:rFonts w:ascii="Times New Roman" w:hAnsi="Times New Roman" w:cs="Times New Roman"/>
          <w:b/>
          <w:bCs/>
        </w:rPr>
        <w:t>1. Análisis de la Variable Objetivo (Balance de Clases)</w:t>
      </w:r>
    </w:p>
    <w:p w14:paraId="3B242601" w14:textId="77777777" w:rsidR="00240019" w:rsidRPr="00240019" w:rsidRDefault="00240019" w:rsidP="00240019">
      <w:pPr>
        <w:rPr>
          <w:rFonts w:ascii="Times New Roman" w:hAnsi="Times New Roman" w:cs="Times New Roman"/>
        </w:rPr>
      </w:pPr>
      <w:r w:rsidRPr="00240019">
        <w:rPr>
          <w:rFonts w:ascii="Times New Roman" w:hAnsi="Times New Roman" w:cs="Times New Roman"/>
        </w:rPr>
        <w:t>El primer paso crítico es evaluar la viabilidad del aprendizaje supervisado mediante el balance de clases.</w:t>
      </w:r>
    </w:p>
    <w:p w14:paraId="74D2C283" w14:textId="77777777" w:rsidR="00240019" w:rsidRPr="00240019" w:rsidRDefault="00240019" w:rsidP="0024001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40019">
        <w:rPr>
          <w:rFonts w:ascii="Times New Roman" w:hAnsi="Times New Roman" w:cs="Times New Roman"/>
          <w:b/>
          <w:bCs/>
        </w:rPr>
        <w:t>Estado del Dataset:</w:t>
      </w:r>
      <w:r w:rsidRPr="00240019">
        <w:rPr>
          <w:rFonts w:ascii="Times New Roman" w:hAnsi="Times New Roman" w:cs="Times New Roman"/>
        </w:rPr>
        <w:t xml:space="preserve"> Se observa un equilibrio casi óptimo, con una distribución de </w:t>
      </w:r>
      <w:r w:rsidRPr="00240019">
        <w:rPr>
          <w:rFonts w:ascii="Times New Roman" w:hAnsi="Times New Roman" w:cs="Times New Roman"/>
          <w:b/>
          <w:bCs/>
        </w:rPr>
        <w:t>51.8% (comestibles)</w:t>
      </w:r>
      <w:r w:rsidRPr="00240019">
        <w:rPr>
          <w:rFonts w:ascii="Times New Roman" w:hAnsi="Times New Roman" w:cs="Times New Roman"/>
        </w:rPr>
        <w:t xml:space="preserve"> frente a </w:t>
      </w:r>
      <w:r w:rsidRPr="00240019">
        <w:rPr>
          <w:rFonts w:ascii="Times New Roman" w:hAnsi="Times New Roman" w:cs="Times New Roman"/>
          <w:b/>
          <w:bCs/>
        </w:rPr>
        <w:t>48.2% (venenosas)</w:t>
      </w:r>
      <w:r w:rsidRPr="00240019">
        <w:rPr>
          <w:rFonts w:ascii="Times New Roman" w:hAnsi="Times New Roman" w:cs="Times New Roman"/>
        </w:rPr>
        <w:t>.</w:t>
      </w:r>
    </w:p>
    <w:p w14:paraId="547D06BD" w14:textId="77777777" w:rsidR="00240019" w:rsidRPr="00240019" w:rsidRDefault="00240019" w:rsidP="0024001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40019">
        <w:rPr>
          <w:rFonts w:ascii="Times New Roman" w:hAnsi="Times New Roman" w:cs="Times New Roman"/>
          <w:b/>
          <w:bCs/>
        </w:rPr>
        <w:t>Implicación Técnica:</w:t>
      </w:r>
      <w:r w:rsidRPr="00240019">
        <w:rPr>
          <w:rFonts w:ascii="Times New Roman" w:hAnsi="Times New Roman" w:cs="Times New Roman"/>
        </w:rPr>
        <w:t xml:space="preserve"> Al no existir un sesgo significativo, no se requieren técnicas de remuestreo como </w:t>
      </w:r>
      <w:r w:rsidRPr="00240019">
        <w:rPr>
          <w:rFonts w:ascii="Times New Roman" w:hAnsi="Times New Roman" w:cs="Times New Roman"/>
          <w:b/>
          <w:bCs/>
        </w:rPr>
        <w:t>SMOTE</w:t>
      </w:r>
      <w:r w:rsidRPr="00240019">
        <w:rPr>
          <w:rFonts w:ascii="Times New Roman" w:hAnsi="Times New Roman" w:cs="Times New Roman"/>
        </w:rPr>
        <w:t xml:space="preserve"> ni ajustes en la función de pérdida del modelo. Los algoritmos podrán aprender las características de ambas clases con la misma prioridad.</w:t>
      </w:r>
    </w:p>
    <w:p w14:paraId="67D21790" w14:textId="33815F2B" w:rsidR="00923BAC" w:rsidRPr="00E93731" w:rsidRDefault="00923BAC" w:rsidP="00D65301">
      <w:pPr>
        <w:rPr>
          <w:rFonts w:ascii="Times New Roman" w:hAnsi="Times New Roman" w:cs="Times New Roman"/>
        </w:rPr>
      </w:pPr>
      <w:r w:rsidRPr="00E93731">
        <w:rPr>
          <w:rFonts w:ascii="Times New Roman" w:hAnsi="Times New Roman" w:cs="Times New Roman"/>
          <w:noProof/>
        </w:rPr>
        <w:drawing>
          <wp:inline distT="0" distB="0" distL="0" distR="0" wp14:anchorId="63BC6B95" wp14:editId="2D7B0090">
            <wp:extent cx="4394579" cy="3128645"/>
            <wp:effectExtent l="0" t="0" r="635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4774" cy="3143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E225C" w14:textId="1F95CDCA" w:rsidR="00D65301" w:rsidRPr="00E93731" w:rsidRDefault="00D65301" w:rsidP="00D65301">
      <w:pPr>
        <w:rPr>
          <w:rFonts w:ascii="Times New Roman" w:hAnsi="Times New Roman" w:cs="Times New Roman"/>
        </w:rPr>
      </w:pPr>
      <w:r w:rsidRPr="00E93731">
        <w:rPr>
          <w:rFonts w:ascii="Times New Roman" w:hAnsi="Times New Roman" w:cs="Times New Roman"/>
          <w:b/>
          <w:bCs/>
        </w:rPr>
        <w:t>Conclusión:</w:t>
      </w:r>
      <w:r w:rsidRPr="00E93731">
        <w:rPr>
          <w:rFonts w:ascii="Times New Roman" w:hAnsi="Times New Roman" w:cs="Times New Roman"/>
        </w:rPr>
        <w:t xml:space="preserve"> El dataset presenta un equilibrio casi perfecto (51.8% vs 48.2%). No se requieren técnicas de sobremuestreo (SMOTE) ni ajustes por desbalanceo. Los modelos de clasificación podrán aprender ambas clases por igual.</w:t>
      </w:r>
    </w:p>
    <w:p w14:paraId="30B92F50" w14:textId="3962D518" w:rsidR="00D65301" w:rsidRDefault="00D65301" w:rsidP="00D65301">
      <w:pPr>
        <w:rPr>
          <w:rFonts w:ascii="Times New Roman" w:hAnsi="Times New Roman" w:cs="Times New Roman"/>
        </w:rPr>
      </w:pPr>
    </w:p>
    <w:p w14:paraId="372B6192" w14:textId="77777777" w:rsidR="00E93731" w:rsidRDefault="00E93731" w:rsidP="00D65301">
      <w:pPr>
        <w:rPr>
          <w:rFonts w:ascii="Times New Roman" w:hAnsi="Times New Roman" w:cs="Times New Roman"/>
        </w:rPr>
      </w:pPr>
    </w:p>
    <w:p w14:paraId="54C3C808" w14:textId="77777777" w:rsidR="00E93731" w:rsidRPr="00E93731" w:rsidRDefault="00E93731" w:rsidP="00D65301">
      <w:pPr>
        <w:rPr>
          <w:rFonts w:ascii="Times New Roman" w:hAnsi="Times New Roman" w:cs="Times New Roman"/>
        </w:rPr>
      </w:pPr>
    </w:p>
    <w:p w14:paraId="55FB33BE" w14:textId="77777777" w:rsidR="00E93731" w:rsidRDefault="00E93731" w:rsidP="00240019">
      <w:pPr>
        <w:rPr>
          <w:rFonts w:ascii="Times New Roman" w:hAnsi="Times New Roman" w:cs="Times New Roman"/>
          <w:b/>
          <w:bCs/>
        </w:rPr>
      </w:pPr>
    </w:p>
    <w:p w14:paraId="1FE59476" w14:textId="77777777" w:rsidR="00E93731" w:rsidRDefault="00E93731" w:rsidP="00240019">
      <w:pPr>
        <w:rPr>
          <w:rFonts w:ascii="Times New Roman" w:hAnsi="Times New Roman" w:cs="Times New Roman"/>
          <w:b/>
          <w:bCs/>
        </w:rPr>
      </w:pPr>
    </w:p>
    <w:p w14:paraId="70344D1C" w14:textId="77777777" w:rsidR="00E93731" w:rsidRDefault="00E93731" w:rsidP="00240019">
      <w:pPr>
        <w:rPr>
          <w:rFonts w:ascii="Times New Roman" w:hAnsi="Times New Roman" w:cs="Times New Roman"/>
          <w:b/>
          <w:bCs/>
        </w:rPr>
      </w:pPr>
    </w:p>
    <w:p w14:paraId="22B36176" w14:textId="77777777" w:rsidR="00E93731" w:rsidRDefault="00E93731" w:rsidP="00240019">
      <w:pPr>
        <w:rPr>
          <w:rFonts w:ascii="Times New Roman" w:hAnsi="Times New Roman" w:cs="Times New Roman"/>
          <w:b/>
          <w:bCs/>
        </w:rPr>
      </w:pPr>
    </w:p>
    <w:p w14:paraId="04D8DC7F" w14:textId="77777777" w:rsidR="00E93731" w:rsidRDefault="00E93731" w:rsidP="00240019">
      <w:pPr>
        <w:rPr>
          <w:rFonts w:ascii="Times New Roman" w:hAnsi="Times New Roman" w:cs="Times New Roman"/>
          <w:b/>
          <w:bCs/>
        </w:rPr>
      </w:pPr>
    </w:p>
    <w:p w14:paraId="62B419F1" w14:textId="56AEA410" w:rsidR="00240019" w:rsidRPr="00E93731" w:rsidRDefault="00D65301" w:rsidP="00240019">
      <w:pPr>
        <w:rPr>
          <w:rFonts w:ascii="Times New Roman" w:hAnsi="Times New Roman" w:cs="Times New Roman"/>
          <w:b/>
          <w:bCs/>
        </w:rPr>
      </w:pPr>
      <w:r w:rsidRPr="00E93731">
        <w:rPr>
          <w:rFonts w:ascii="Times New Roman" w:hAnsi="Times New Roman" w:cs="Times New Roman"/>
          <w:b/>
          <w:bCs/>
        </w:rPr>
        <w:lastRenderedPageBreak/>
        <w:t xml:space="preserve">2. </w:t>
      </w:r>
      <w:r w:rsidR="00240019" w:rsidRPr="00E93731">
        <w:rPr>
          <w:rFonts w:ascii="Times New Roman" w:hAnsi="Times New Roman" w:cs="Times New Roman"/>
          <w:b/>
          <w:bCs/>
        </w:rPr>
        <w:t>Análisis de Predictores Clave: El Factor "Olor"</w:t>
      </w:r>
    </w:p>
    <w:p w14:paraId="32540D37" w14:textId="77777777" w:rsidR="00240019" w:rsidRPr="00240019" w:rsidRDefault="00240019" w:rsidP="00240019">
      <w:pPr>
        <w:rPr>
          <w:rFonts w:ascii="Times New Roman" w:hAnsi="Times New Roman" w:cs="Times New Roman"/>
        </w:rPr>
      </w:pPr>
      <w:r w:rsidRPr="00240019">
        <w:rPr>
          <w:rFonts w:ascii="Times New Roman" w:hAnsi="Times New Roman" w:cs="Times New Roman"/>
        </w:rPr>
        <w:t>Científicamente, la variable odor se identifica como el descriptor con mayor poder discriminatorio del conjunto de datos.</w:t>
      </w:r>
    </w:p>
    <w:p w14:paraId="5D8BC893" w14:textId="77777777" w:rsidR="00240019" w:rsidRPr="00240019" w:rsidRDefault="00240019" w:rsidP="0024001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40019">
        <w:rPr>
          <w:rFonts w:ascii="Times New Roman" w:hAnsi="Times New Roman" w:cs="Times New Roman"/>
        </w:rPr>
        <w:t>Segmentación Determinista:</w:t>
      </w:r>
    </w:p>
    <w:p w14:paraId="569AA830" w14:textId="77777777" w:rsidR="00240019" w:rsidRPr="00240019" w:rsidRDefault="00240019" w:rsidP="0024001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40019">
        <w:rPr>
          <w:rFonts w:ascii="Times New Roman" w:hAnsi="Times New Roman" w:cs="Times New Roman"/>
        </w:rPr>
        <w:t>Toxicidad Absoluta (100%): Olores fétido, acre, pescado y picante.</w:t>
      </w:r>
    </w:p>
    <w:p w14:paraId="06330BCA" w14:textId="77777777" w:rsidR="00240019" w:rsidRPr="00240019" w:rsidRDefault="00240019" w:rsidP="0024001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40019">
        <w:rPr>
          <w:rFonts w:ascii="Times New Roman" w:hAnsi="Times New Roman" w:cs="Times New Roman"/>
        </w:rPr>
        <w:t>Inocuidad Absoluta (100%): Olores almendra y anís.</w:t>
      </w:r>
    </w:p>
    <w:p w14:paraId="6F57E965" w14:textId="77777777" w:rsidR="00240019" w:rsidRPr="00240019" w:rsidRDefault="00240019" w:rsidP="0024001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40019">
        <w:rPr>
          <w:rFonts w:ascii="Times New Roman" w:hAnsi="Times New Roman" w:cs="Times New Roman"/>
        </w:rPr>
        <w:t>Punto de Incertidumbre: La categoría "Ninguno" es la única que presenta una distribución mixta, lo que justifica la necesidad de modelos de mayor complejidad o técnicas de Clustering para resolver la ambigüedad en estos ejemplares</w:t>
      </w:r>
    </w:p>
    <w:p w14:paraId="6FF1F6E7" w14:textId="1AA1BD8E" w:rsidR="00923BAC" w:rsidRPr="00E93731" w:rsidRDefault="00923BAC" w:rsidP="00240019">
      <w:pPr>
        <w:rPr>
          <w:rFonts w:ascii="Times New Roman" w:hAnsi="Times New Roman" w:cs="Times New Roman"/>
        </w:rPr>
      </w:pPr>
      <w:r w:rsidRPr="00E93731">
        <w:rPr>
          <w:rFonts w:ascii="Times New Roman" w:hAnsi="Times New Roman" w:cs="Times New Roman"/>
          <w:noProof/>
        </w:rPr>
        <w:drawing>
          <wp:inline distT="0" distB="0" distL="0" distR="0" wp14:anchorId="3B4C9005" wp14:editId="6D01AA13">
            <wp:extent cx="5400040" cy="291909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1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9D0E6" w14:textId="1E78065A" w:rsidR="00D65301" w:rsidRPr="00E93731" w:rsidRDefault="00D65301" w:rsidP="00D65301">
      <w:pPr>
        <w:rPr>
          <w:rFonts w:ascii="Times New Roman" w:hAnsi="Times New Roman" w:cs="Times New Roman"/>
        </w:rPr>
      </w:pPr>
      <w:r w:rsidRPr="00E93731">
        <w:rPr>
          <w:rFonts w:ascii="Times New Roman" w:hAnsi="Times New Roman" w:cs="Times New Roman"/>
          <w:b/>
          <w:bCs/>
        </w:rPr>
        <w:t>Conclusión:</w:t>
      </w:r>
      <w:r w:rsidRPr="00E93731">
        <w:rPr>
          <w:rFonts w:ascii="Times New Roman" w:hAnsi="Times New Roman" w:cs="Times New Roman"/>
        </w:rPr>
        <w:t xml:space="preserve"> Se observa una segmentación casi perfecta. Los olores </w:t>
      </w:r>
      <w:r w:rsidRPr="00E93731">
        <w:rPr>
          <w:rFonts w:ascii="Times New Roman" w:hAnsi="Times New Roman" w:cs="Times New Roman"/>
          <w:b/>
          <w:bCs/>
        </w:rPr>
        <w:t>fétido, acre, pescado y picante</w:t>
      </w:r>
      <w:r w:rsidRPr="00E93731">
        <w:rPr>
          <w:rFonts w:ascii="Times New Roman" w:hAnsi="Times New Roman" w:cs="Times New Roman"/>
        </w:rPr>
        <w:t xml:space="preserve"> son 100% asociados a veneno. Los olores </w:t>
      </w:r>
      <w:r w:rsidRPr="00E93731">
        <w:rPr>
          <w:rFonts w:ascii="Times New Roman" w:hAnsi="Times New Roman" w:cs="Times New Roman"/>
          <w:b/>
          <w:bCs/>
        </w:rPr>
        <w:t>almendra y anís</w:t>
      </w:r>
      <w:r w:rsidRPr="00E93731">
        <w:rPr>
          <w:rFonts w:ascii="Times New Roman" w:hAnsi="Times New Roman" w:cs="Times New Roman"/>
        </w:rPr>
        <w:t xml:space="preserve"> son 100% seguros. El olor "Ninguno" es el único que presenta ambigüedad, lo que justifica el uso de modelos complejos para desempatar estos casos.</w:t>
      </w:r>
    </w:p>
    <w:p w14:paraId="791FBFF9" w14:textId="037A3A4F" w:rsidR="00D65301" w:rsidRPr="00E93731" w:rsidRDefault="00D65301" w:rsidP="00D65301">
      <w:pPr>
        <w:rPr>
          <w:rFonts w:ascii="Times New Roman" w:hAnsi="Times New Roman" w:cs="Times New Roman"/>
        </w:rPr>
      </w:pPr>
    </w:p>
    <w:p w14:paraId="6F6E7BC7" w14:textId="77777777" w:rsidR="00E93731" w:rsidRDefault="00E93731" w:rsidP="00D65301">
      <w:pPr>
        <w:rPr>
          <w:rFonts w:ascii="Times New Roman" w:hAnsi="Times New Roman" w:cs="Times New Roman"/>
          <w:b/>
          <w:bCs/>
        </w:rPr>
      </w:pPr>
    </w:p>
    <w:p w14:paraId="28A9D3FC" w14:textId="77777777" w:rsidR="00E93731" w:rsidRDefault="00E93731" w:rsidP="00D65301">
      <w:pPr>
        <w:rPr>
          <w:rFonts w:ascii="Times New Roman" w:hAnsi="Times New Roman" w:cs="Times New Roman"/>
          <w:b/>
          <w:bCs/>
        </w:rPr>
      </w:pPr>
    </w:p>
    <w:p w14:paraId="3A3DE366" w14:textId="77777777" w:rsidR="00E93731" w:rsidRDefault="00E93731" w:rsidP="00D65301">
      <w:pPr>
        <w:rPr>
          <w:rFonts w:ascii="Times New Roman" w:hAnsi="Times New Roman" w:cs="Times New Roman"/>
          <w:b/>
          <w:bCs/>
        </w:rPr>
      </w:pPr>
    </w:p>
    <w:p w14:paraId="66601D5E" w14:textId="77777777" w:rsidR="00E93731" w:rsidRDefault="00E93731" w:rsidP="00D65301">
      <w:pPr>
        <w:rPr>
          <w:rFonts w:ascii="Times New Roman" w:hAnsi="Times New Roman" w:cs="Times New Roman"/>
          <w:b/>
          <w:bCs/>
        </w:rPr>
      </w:pPr>
    </w:p>
    <w:p w14:paraId="6E244A45" w14:textId="77777777" w:rsidR="00E93731" w:rsidRDefault="00E93731" w:rsidP="00D65301">
      <w:pPr>
        <w:rPr>
          <w:rFonts w:ascii="Times New Roman" w:hAnsi="Times New Roman" w:cs="Times New Roman"/>
          <w:b/>
          <w:bCs/>
        </w:rPr>
      </w:pPr>
    </w:p>
    <w:p w14:paraId="6051CF37" w14:textId="77777777" w:rsidR="00E93731" w:rsidRDefault="00E93731" w:rsidP="00D65301">
      <w:pPr>
        <w:rPr>
          <w:rFonts w:ascii="Times New Roman" w:hAnsi="Times New Roman" w:cs="Times New Roman"/>
          <w:b/>
          <w:bCs/>
        </w:rPr>
      </w:pPr>
    </w:p>
    <w:p w14:paraId="5214AB0B" w14:textId="0BC62502" w:rsidR="00D65301" w:rsidRPr="00E93731" w:rsidRDefault="00D65301" w:rsidP="00D65301">
      <w:pPr>
        <w:rPr>
          <w:rFonts w:ascii="Times New Roman" w:hAnsi="Times New Roman" w:cs="Times New Roman"/>
          <w:b/>
          <w:bCs/>
        </w:rPr>
      </w:pPr>
      <w:r w:rsidRPr="00E93731">
        <w:rPr>
          <w:rFonts w:ascii="Times New Roman" w:hAnsi="Times New Roman" w:cs="Times New Roman"/>
          <w:b/>
          <w:bCs/>
        </w:rPr>
        <w:lastRenderedPageBreak/>
        <w:t>3. Análisis de la Superficie y el Color del Sombrero</w:t>
      </w:r>
    </w:p>
    <w:p w14:paraId="1E45AF3E" w14:textId="77777777" w:rsidR="00240019" w:rsidRPr="00240019" w:rsidRDefault="00240019" w:rsidP="00240019">
      <w:pPr>
        <w:rPr>
          <w:rFonts w:ascii="Times New Roman" w:hAnsi="Times New Roman" w:cs="Times New Roman"/>
        </w:rPr>
      </w:pPr>
      <w:r w:rsidRPr="00240019">
        <w:rPr>
          <w:rFonts w:ascii="Times New Roman" w:hAnsi="Times New Roman" w:cs="Times New Roman"/>
        </w:rPr>
        <w:t>Se evaluó el impacto de la apariencia externa (cap-surface y cap-color) en la predicción de toxicidad.</w:t>
      </w:r>
    </w:p>
    <w:p w14:paraId="7260A381" w14:textId="77777777" w:rsidR="00240019" w:rsidRPr="00240019" w:rsidRDefault="00240019" w:rsidP="0024001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40019">
        <w:rPr>
          <w:rFonts w:ascii="Times New Roman" w:hAnsi="Times New Roman" w:cs="Times New Roman"/>
        </w:rPr>
        <w:t>Hallazgo: Contrario al conocimiento popular, los colores vibrantes (amarillo, rojo) no son indicadores fiables de veneno, pues abundan setas comestibles con estas características.</w:t>
      </w:r>
    </w:p>
    <w:p w14:paraId="006D7EBC" w14:textId="77777777" w:rsidR="00240019" w:rsidRPr="00240019" w:rsidRDefault="00240019" w:rsidP="0024001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40019">
        <w:rPr>
          <w:rFonts w:ascii="Times New Roman" w:hAnsi="Times New Roman" w:cs="Times New Roman"/>
        </w:rPr>
        <w:t>Estrategia Sugerida: Dado que ninguna característica visual es determinante por sí sola, se recomienda el uso de PCA (Análisis de Componentes Principales) para sintetizar múltiples variables en dimensiones de mayor valor explicativo.</w:t>
      </w:r>
    </w:p>
    <w:p w14:paraId="3E57FC84" w14:textId="77777777" w:rsidR="00240019" w:rsidRPr="00E93731" w:rsidRDefault="00240019" w:rsidP="00D65301">
      <w:pPr>
        <w:rPr>
          <w:rFonts w:ascii="Times New Roman" w:hAnsi="Times New Roman" w:cs="Times New Roman"/>
          <w:b/>
          <w:bCs/>
        </w:rPr>
      </w:pPr>
    </w:p>
    <w:p w14:paraId="7DF29AEF" w14:textId="77777777" w:rsidR="00D65301" w:rsidRPr="00E93731" w:rsidRDefault="00D65301" w:rsidP="00D65301">
      <w:pPr>
        <w:rPr>
          <w:rFonts w:ascii="Times New Roman" w:hAnsi="Times New Roman" w:cs="Times New Roman"/>
        </w:rPr>
      </w:pPr>
      <w:r w:rsidRPr="00E93731">
        <w:rPr>
          <w:rFonts w:ascii="Times New Roman" w:hAnsi="Times New Roman" w:cs="Times New Roman"/>
        </w:rPr>
        <w:t>¿Influye el aspecto visual en la seguridad de la seta?</w:t>
      </w:r>
    </w:p>
    <w:p w14:paraId="2AEA5EBC" w14:textId="77777777" w:rsidR="00D65301" w:rsidRPr="00E93731" w:rsidRDefault="00D65301" w:rsidP="00D65301">
      <w:pPr>
        <w:rPr>
          <w:rFonts w:ascii="Times New Roman" w:hAnsi="Times New Roman" w:cs="Times New Roman"/>
        </w:rPr>
      </w:pPr>
    </w:p>
    <w:p w14:paraId="069A00C4" w14:textId="19DEECFD" w:rsidR="00923BAC" w:rsidRPr="00E93731" w:rsidRDefault="00923BAC" w:rsidP="00D65301">
      <w:pPr>
        <w:rPr>
          <w:rFonts w:ascii="Times New Roman" w:hAnsi="Times New Roman" w:cs="Times New Roman"/>
        </w:rPr>
      </w:pPr>
      <w:r w:rsidRPr="00E93731">
        <w:rPr>
          <w:rFonts w:ascii="Times New Roman" w:hAnsi="Times New Roman" w:cs="Times New Roman"/>
          <w:noProof/>
        </w:rPr>
        <w:drawing>
          <wp:inline distT="0" distB="0" distL="0" distR="0" wp14:anchorId="4F460381" wp14:editId="65A4BB02">
            <wp:extent cx="5400040" cy="200279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0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1E720" w14:textId="77777777" w:rsidR="00923BAC" w:rsidRPr="00E93731" w:rsidRDefault="00923BAC" w:rsidP="00D65301">
      <w:pPr>
        <w:rPr>
          <w:rFonts w:ascii="Times New Roman" w:hAnsi="Times New Roman" w:cs="Times New Roman"/>
        </w:rPr>
      </w:pPr>
    </w:p>
    <w:p w14:paraId="0270FFC2" w14:textId="61251DB0" w:rsidR="00D65301" w:rsidRPr="00E93731" w:rsidRDefault="00D65301" w:rsidP="00D65301">
      <w:pPr>
        <w:rPr>
          <w:rFonts w:ascii="Times New Roman" w:hAnsi="Times New Roman" w:cs="Times New Roman"/>
        </w:rPr>
      </w:pPr>
      <w:r w:rsidRPr="00E93731">
        <w:rPr>
          <w:rFonts w:ascii="Times New Roman" w:hAnsi="Times New Roman" w:cs="Times New Roman"/>
          <w:b/>
          <w:bCs/>
        </w:rPr>
        <w:t>Conclusión:</w:t>
      </w:r>
      <w:r w:rsidRPr="00E93731">
        <w:rPr>
          <w:rFonts w:ascii="Times New Roman" w:hAnsi="Times New Roman" w:cs="Times New Roman"/>
        </w:rPr>
        <w:t xml:space="preserve"> Contrario al mito popular, colores brillantes como el rojo o amarillo no garantizan que la seta sea venenosa (hay muchas comestibles con esos colores). La </w:t>
      </w:r>
      <w:r w:rsidRPr="00E93731">
        <w:rPr>
          <w:rFonts w:ascii="Times New Roman" w:hAnsi="Times New Roman" w:cs="Times New Roman"/>
          <w:b/>
          <w:bCs/>
        </w:rPr>
        <w:t>superficie</w:t>
      </w:r>
      <w:r w:rsidRPr="00E93731">
        <w:rPr>
          <w:rFonts w:ascii="Times New Roman" w:hAnsi="Times New Roman" w:cs="Times New Roman"/>
        </w:rPr>
        <w:t xml:space="preserve"> tampoco es un indicador definitivo por sí sola, lo que refuerza la necesidad de técnicas de </w:t>
      </w:r>
      <w:r w:rsidRPr="00E93731">
        <w:rPr>
          <w:rFonts w:ascii="Times New Roman" w:hAnsi="Times New Roman" w:cs="Times New Roman"/>
          <w:b/>
          <w:bCs/>
        </w:rPr>
        <w:t>PCA</w:t>
      </w:r>
      <w:r w:rsidRPr="00E93731">
        <w:rPr>
          <w:rFonts w:ascii="Times New Roman" w:hAnsi="Times New Roman" w:cs="Times New Roman"/>
        </w:rPr>
        <w:t xml:space="preserve"> para combinar múltiples variables en un solo análisis.</w:t>
      </w:r>
    </w:p>
    <w:p w14:paraId="441071DE" w14:textId="7DE2DE61" w:rsidR="00D65301" w:rsidRPr="00E93731" w:rsidRDefault="00D65301" w:rsidP="00D65301">
      <w:pPr>
        <w:rPr>
          <w:rFonts w:ascii="Times New Roman" w:hAnsi="Times New Roman" w:cs="Times New Roman"/>
        </w:rPr>
      </w:pPr>
    </w:p>
    <w:p w14:paraId="129C17F8" w14:textId="77777777" w:rsidR="00E93731" w:rsidRDefault="00E93731" w:rsidP="00D65301">
      <w:pPr>
        <w:rPr>
          <w:rFonts w:ascii="Times New Roman" w:hAnsi="Times New Roman" w:cs="Times New Roman"/>
          <w:b/>
          <w:bCs/>
        </w:rPr>
      </w:pPr>
    </w:p>
    <w:p w14:paraId="6917E25C" w14:textId="77777777" w:rsidR="00E93731" w:rsidRDefault="00E93731" w:rsidP="00D65301">
      <w:pPr>
        <w:rPr>
          <w:rFonts w:ascii="Times New Roman" w:hAnsi="Times New Roman" w:cs="Times New Roman"/>
          <w:b/>
          <w:bCs/>
        </w:rPr>
      </w:pPr>
    </w:p>
    <w:p w14:paraId="2E4825B7" w14:textId="77777777" w:rsidR="00E93731" w:rsidRDefault="00E93731" w:rsidP="00D65301">
      <w:pPr>
        <w:rPr>
          <w:rFonts w:ascii="Times New Roman" w:hAnsi="Times New Roman" w:cs="Times New Roman"/>
          <w:b/>
          <w:bCs/>
        </w:rPr>
      </w:pPr>
    </w:p>
    <w:p w14:paraId="280916FB" w14:textId="77777777" w:rsidR="00E93731" w:rsidRDefault="00E93731" w:rsidP="00D65301">
      <w:pPr>
        <w:rPr>
          <w:rFonts w:ascii="Times New Roman" w:hAnsi="Times New Roman" w:cs="Times New Roman"/>
          <w:b/>
          <w:bCs/>
        </w:rPr>
      </w:pPr>
    </w:p>
    <w:p w14:paraId="05149F65" w14:textId="77777777" w:rsidR="00E93731" w:rsidRDefault="00E93731" w:rsidP="00D65301">
      <w:pPr>
        <w:rPr>
          <w:rFonts w:ascii="Times New Roman" w:hAnsi="Times New Roman" w:cs="Times New Roman"/>
          <w:b/>
          <w:bCs/>
        </w:rPr>
      </w:pPr>
    </w:p>
    <w:p w14:paraId="6D87D84A" w14:textId="77777777" w:rsidR="00E93731" w:rsidRDefault="00E93731" w:rsidP="00D65301">
      <w:pPr>
        <w:rPr>
          <w:rFonts w:ascii="Times New Roman" w:hAnsi="Times New Roman" w:cs="Times New Roman"/>
          <w:b/>
          <w:bCs/>
        </w:rPr>
      </w:pPr>
    </w:p>
    <w:p w14:paraId="7849E871" w14:textId="77777777" w:rsidR="00E93731" w:rsidRDefault="00E93731" w:rsidP="00D65301">
      <w:pPr>
        <w:rPr>
          <w:rFonts w:ascii="Times New Roman" w:hAnsi="Times New Roman" w:cs="Times New Roman"/>
          <w:b/>
          <w:bCs/>
        </w:rPr>
      </w:pPr>
    </w:p>
    <w:p w14:paraId="45ED3AED" w14:textId="3DF470E5" w:rsidR="00D65301" w:rsidRPr="00E93731" w:rsidRDefault="00D65301" w:rsidP="00D65301">
      <w:pPr>
        <w:rPr>
          <w:rFonts w:ascii="Times New Roman" w:hAnsi="Times New Roman" w:cs="Times New Roman"/>
          <w:b/>
          <w:bCs/>
        </w:rPr>
      </w:pPr>
      <w:r w:rsidRPr="00E93731">
        <w:rPr>
          <w:rFonts w:ascii="Times New Roman" w:hAnsi="Times New Roman" w:cs="Times New Roman"/>
          <w:b/>
          <w:bCs/>
        </w:rPr>
        <w:lastRenderedPageBreak/>
        <w:t>4. Análisis de Correlación de Variables (Heatmap de Contingencia)</w:t>
      </w:r>
    </w:p>
    <w:p w14:paraId="0CFB1AD6" w14:textId="77777777" w:rsidR="00240019" w:rsidRPr="00240019" w:rsidRDefault="00240019" w:rsidP="00240019">
      <w:pPr>
        <w:rPr>
          <w:rFonts w:ascii="Times New Roman" w:hAnsi="Times New Roman" w:cs="Times New Roman"/>
        </w:rPr>
      </w:pPr>
      <w:r w:rsidRPr="00240019">
        <w:rPr>
          <w:rFonts w:ascii="Times New Roman" w:hAnsi="Times New Roman" w:cs="Times New Roman"/>
        </w:rPr>
        <w:t>Debido a la naturaleza cualitativa de los datos, se emplearon matrices de asociación (V de Cramér) para identificar dependencias.</w:t>
      </w:r>
    </w:p>
    <w:p w14:paraId="18412EAE" w14:textId="77777777" w:rsidR="00240019" w:rsidRPr="00240019" w:rsidRDefault="00240019" w:rsidP="0024001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40019">
        <w:rPr>
          <w:rFonts w:ascii="Times New Roman" w:hAnsi="Times New Roman" w:cs="Times New Roman"/>
        </w:rPr>
        <w:t>Variables de Alto Impacto: Además del olor, las características relacionadas con el anillo (ring-type) y las láminas (gill-size) presentan las correlaciones más robustas con la variable objetivo.</w:t>
      </w:r>
    </w:p>
    <w:p w14:paraId="17A88B43" w14:textId="77777777" w:rsidR="00240019" w:rsidRPr="00240019" w:rsidRDefault="00240019" w:rsidP="0024001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40019">
        <w:rPr>
          <w:rFonts w:ascii="Times New Roman" w:hAnsi="Times New Roman" w:cs="Times New Roman"/>
        </w:rPr>
        <w:t>Selección de Modelo: Esta estructura de datos sugiere que modelos basados en árboles, como Random Forest, otorgarán un peso jerárquico prioritario a estas variables, facilitando una clasificación precisa.</w:t>
      </w:r>
    </w:p>
    <w:p w14:paraId="38FA6872" w14:textId="30EE9F01" w:rsidR="00D65301" w:rsidRPr="00E93731" w:rsidRDefault="00D65301" w:rsidP="00D65301">
      <w:pPr>
        <w:rPr>
          <w:rFonts w:ascii="Times New Roman" w:hAnsi="Times New Roman" w:cs="Times New Roman"/>
        </w:rPr>
      </w:pPr>
    </w:p>
    <w:p w14:paraId="0D634EB0" w14:textId="48417278" w:rsidR="00923BAC" w:rsidRPr="00E93731" w:rsidRDefault="00923BAC" w:rsidP="00D65301">
      <w:pPr>
        <w:rPr>
          <w:rFonts w:ascii="Times New Roman" w:hAnsi="Times New Roman" w:cs="Times New Roman"/>
        </w:rPr>
      </w:pPr>
      <w:r w:rsidRPr="00E93731">
        <w:rPr>
          <w:rFonts w:ascii="Times New Roman" w:hAnsi="Times New Roman" w:cs="Times New Roman"/>
          <w:noProof/>
        </w:rPr>
        <w:drawing>
          <wp:inline distT="0" distB="0" distL="0" distR="0" wp14:anchorId="3B1AF926" wp14:editId="5F218CD0">
            <wp:extent cx="5400040" cy="484441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84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75111" w14:textId="4CCB77F9" w:rsidR="00D65301" w:rsidRPr="00E93731" w:rsidRDefault="00D65301" w:rsidP="00D65301">
      <w:pPr>
        <w:rPr>
          <w:rFonts w:ascii="Times New Roman" w:hAnsi="Times New Roman" w:cs="Times New Roman"/>
        </w:rPr>
      </w:pPr>
      <w:r w:rsidRPr="00E93731">
        <w:rPr>
          <w:rFonts w:ascii="Times New Roman" w:hAnsi="Times New Roman" w:cs="Times New Roman"/>
          <w:b/>
          <w:bCs/>
        </w:rPr>
        <w:t>Conclusión:</w:t>
      </w:r>
      <w:r w:rsidRPr="00E93731">
        <w:rPr>
          <w:rFonts w:ascii="Times New Roman" w:hAnsi="Times New Roman" w:cs="Times New Roman"/>
        </w:rPr>
        <w:t xml:space="preserve"> Las variables relacionadas con el </w:t>
      </w:r>
      <w:r w:rsidRPr="00E93731">
        <w:rPr>
          <w:rFonts w:ascii="Times New Roman" w:hAnsi="Times New Roman" w:cs="Times New Roman"/>
          <w:b/>
          <w:bCs/>
        </w:rPr>
        <w:t>anillo (ring-type)</w:t>
      </w:r>
      <w:r w:rsidRPr="00E93731">
        <w:rPr>
          <w:rFonts w:ascii="Times New Roman" w:hAnsi="Times New Roman" w:cs="Times New Roman"/>
        </w:rPr>
        <w:t xml:space="preserve"> y las </w:t>
      </w:r>
      <w:r w:rsidRPr="00E93731">
        <w:rPr>
          <w:rFonts w:ascii="Times New Roman" w:hAnsi="Times New Roman" w:cs="Times New Roman"/>
          <w:b/>
          <w:bCs/>
        </w:rPr>
        <w:t>laminas (gill-size)</w:t>
      </w:r>
      <w:r w:rsidRPr="00E93731">
        <w:rPr>
          <w:rFonts w:ascii="Times New Roman" w:hAnsi="Times New Roman" w:cs="Times New Roman"/>
        </w:rPr>
        <w:t xml:space="preserve"> muestran las correlaciones más altas con la toxicidad. Esto sugiere que el modelo de </w:t>
      </w:r>
      <w:r w:rsidRPr="00E93731">
        <w:rPr>
          <w:rFonts w:ascii="Times New Roman" w:hAnsi="Times New Roman" w:cs="Times New Roman"/>
          <w:b/>
          <w:bCs/>
        </w:rPr>
        <w:t>Random Forest</w:t>
      </w:r>
      <w:r w:rsidRPr="00E93731">
        <w:rPr>
          <w:rFonts w:ascii="Times New Roman" w:hAnsi="Times New Roman" w:cs="Times New Roman"/>
        </w:rPr>
        <w:t xml:space="preserve"> les dará un peso prioritario.</w:t>
      </w:r>
    </w:p>
    <w:p w14:paraId="34EDAF33" w14:textId="2853C663" w:rsidR="00D65301" w:rsidRDefault="00D65301" w:rsidP="00D65301">
      <w:pPr>
        <w:rPr>
          <w:rFonts w:ascii="Times New Roman" w:hAnsi="Times New Roman" w:cs="Times New Roman"/>
        </w:rPr>
      </w:pPr>
    </w:p>
    <w:p w14:paraId="12C827DF" w14:textId="77777777" w:rsidR="00E93731" w:rsidRPr="00E93731" w:rsidRDefault="00E93731" w:rsidP="00D65301">
      <w:pPr>
        <w:rPr>
          <w:rFonts w:ascii="Times New Roman" w:hAnsi="Times New Roman" w:cs="Times New Roman"/>
        </w:rPr>
      </w:pPr>
    </w:p>
    <w:p w14:paraId="6EB2015F" w14:textId="77777777" w:rsidR="00240019" w:rsidRPr="00E93731" w:rsidRDefault="00D65301" w:rsidP="00240019">
      <w:pPr>
        <w:rPr>
          <w:rFonts w:ascii="Times New Roman" w:hAnsi="Times New Roman" w:cs="Times New Roman"/>
          <w:b/>
          <w:bCs/>
        </w:rPr>
      </w:pPr>
      <w:r w:rsidRPr="00E93731">
        <w:rPr>
          <w:rFonts w:ascii="Times New Roman" w:hAnsi="Times New Roman" w:cs="Times New Roman"/>
          <w:b/>
          <w:bCs/>
        </w:rPr>
        <w:lastRenderedPageBreak/>
        <w:t xml:space="preserve">5. Resumen Ejecutivo del EDA </w:t>
      </w:r>
    </w:p>
    <w:p w14:paraId="1F7BB9C2" w14:textId="628DA2F8" w:rsidR="00D65301" w:rsidRPr="00E93731" w:rsidRDefault="00D65301" w:rsidP="00240019">
      <w:pPr>
        <w:rPr>
          <w:rFonts w:ascii="Times New Roman" w:hAnsi="Times New Roman" w:cs="Times New Roman"/>
        </w:rPr>
      </w:pPr>
      <w:r w:rsidRPr="00E93731">
        <w:rPr>
          <w:rFonts w:ascii="Times New Roman" w:hAnsi="Times New Roman" w:cs="Times New Roman"/>
          <w:b/>
          <w:bCs/>
        </w:rPr>
        <w:t>Calidad del Dato:</w:t>
      </w:r>
      <w:r w:rsidRPr="00E93731">
        <w:rPr>
          <w:rFonts w:ascii="Times New Roman" w:hAnsi="Times New Roman" w:cs="Times New Roman"/>
        </w:rPr>
        <w:t xml:space="preserve"> No hay valores nulos convencionales, pero el 30% de la columna stalk-root está oculto tras el carácter ?. Se ha decidido mantenerlo como categoría 'unknown' para no perder volumen de datos.</w:t>
      </w:r>
    </w:p>
    <w:p w14:paraId="68920E95" w14:textId="77777777" w:rsidR="00D65301" w:rsidRPr="00E93731" w:rsidRDefault="00D65301" w:rsidP="00D6530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3731">
        <w:rPr>
          <w:rFonts w:ascii="Times New Roman" w:hAnsi="Times New Roman" w:cs="Times New Roman"/>
          <w:b/>
          <w:bCs/>
        </w:rPr>
        <w:t>Redundancia:</w:t>
      </w:r>
      <w:r w:rsidRPr="00E93731">
        <w:rPr>
          <w:rFonts w:ascii="Times New Roman" w:hAnsi="Times New Roman" w:cs="Times New Roman"/>
        </w:rPr>
        <w:t xml:space="preserve"> La variable veil-type es constante; se elimina para evitar ruido en el modelo y problemas de división por cero en algunos algoritmos.</w:t>
      </w:r>
    </w:p>
    <w:p w14:paraId="4646526E" w14:textId="77777777" w:rsidR="00D65301" w:rsidRPr="00E93731" w:rsidRDefault="00D65301" w:rsidP="00D6530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3731">
        <w:rPr>
          <w:rFonts w:ascii="Times New Roman" w:hAnsi="Times New Roman" w:cs="Times New Roman"/>
          <w:b/>
          <w:bCs/>
        </w:rPr>
        <w:t>Predictibilidad:</w:t>
      </w:r>
      <w:r w:rsidRPr="00E93731">
        <w:rPr>
          <w:rFonts w:ascii="Times New Roman" w:hAnsi="Times New Roman" w:cs="Times New Roman"/>
        </w:rPr>
        <w:t xml:space="preserve"> El dataset es altamente separable. La fuerte correlación de la variable odor sugiere que incluso modelos simples podrían tener un accuracy alto, pero el </w:t>
      </w:r>
      <w:r w:rsidRPr="00E93731">
        <w:rPr>
          <w:rFonts w:ascii="Times New Roman" w:hAnsi="Times New Roman" w:cs="Times New Roman"/>
          <w:b/>
          <w:bCs/>
        </w:rPr>
        <w:t>Clustering</w:t>
      </w:r>
      <w:r w:rsidRPr="00E93731">
        <w:rPr>
          <w:rFonts w:ascii="Times New Roman" w:hAnsi="Times New Roman" w:cs="Times New Roman"/>
        </w:rPr>
        <w:t xml:space="preserve"> será vital para entender la estructura de las setas sin olor definido.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6"/>
        <w:gridCol w:w="2931"/>
        <w:gridCol w:w="3321"/>
      </w:tblGrid>
      <w:tr w:rsidR="00240019" w:rsidRPr="00240019" w14:paraId="6687F9AF" w14:textId="77777777" w:rsidTr="0024001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C77CA" w14:textId="77777777" w:rsidR="00240019" w:rsidRPr="00240019" w:rsidRDefault="00240019" w:rsidP="00240019">
            <w:pPr>
              <w:ind w:left="360"/>
              <w:rPr>
                <w:rFonts w:ascii="Times New Roman" w:hAnsi="Times New Roman" w:cs="Times New Roman"/>
              </w:rPr>
            </w:pPr>
            <w:r w:rsidRPr="00240019">
              <w:rPr>
                <w:rFonts w:ascii="Times New Roman" w:hAnsi="Times New Roman" w:cs="Times New Roman"/>
                <w:b/>
                <w:bCs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C28D9" w14:textId="77777777" w:rsidR="00240019" w:rsidRPr="00240019" w:rsidRDefault="00240019" w:rsidP="00240019">
            <w:pPr>
              <w:ind w:left="360"/>
              <w:rPr>
                <w:rFonts w:ascii="Times New Roman" w:hAnsi="Times New Roman" w:cs="Times New Roman"/>
              </w:rPr>
            </w:pPr>
            <w:r w:rsidRPr="00240019">
              <w:rPr>
                <w:rFonts w:ascii="Times New Roman" w:hAnsi="Times New Roman" w:cs="Times New Roman"/>
                <w:b/>
                <w:bCs/>
              </w:rPr>
              <w:t>Observación Técnica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7C39B" w14:textId="77777777" w:rsidR="00240019" w:rsidRPr="00240019" w:rsidRDefault="00240019" w:rsidP="00240019">
            <w:pPr>
              <w:ind w:left="360"/>
              <w:rPr>
                <w:rFonts w:ascii="Times New Roman" w:hAnsi="Times New Roman" w:cs="Times New Roman"/>
              </w:rPr>
            </w:pPr>
            <w:r w:rsidRPr="00240019">
              <w:rPr>
                <w:rFonts w:ascii="Times New Roman" w:hAnsi="Times New Roman" w:cs="Times New Roman"/>
                <w:b/>
                <w:bCs/>
              </w:rPr>
              <w:t>Acción Tomada</w:t>
            </w:r>
          </w:p>
        </w:tc>
      </w:tr>
      <w:tr w:rsidR="00240019" w:rsidRPr="00240019" w14:paraId="128AC876" w14:textId="77777777" w:rsidTr="002400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28964" w14:textId="77777777" w:rsidR="00240019" w:rsidRPr="00240019" w:rsidRDefault="00240019" w:rsidP="00240019">
            <w:pPr>
              <w:ind w:left="360"/>
              <w:rPr>
                <w:rFonts w:ascii="Times New Roman" w:hAnsi="Times New Roman" w:cs="Times New Roman"/>
              </w:rPr>
            </w:pPr>
            <w:r w:rsidRPr="00240019">
              <w:rPr>
                <w:rFonts w:ascii="Times New Roman" w:hAnsi="Times New Roman" w:cs="Times New Roman"/>
                <w:b/>
                <w:bCs/>
              </w:rPr>
              <w:t>Integridad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D7A7F" w14:textId="77777777" w:rsidR="00240019" w:rsidRPr="00240019" w:rsidRDefault="00240019" w:rsidP="00240019">
            <w:pPr>
              <w:ind w:left="360"/>
              <w:rPr>
                <w:rFonts w:ascii="Times New Roman" w:hAnsi="Times New Roman" w:cs="Times New Roman"/>
              </w:rPr>
            </w:pPr>
            <w:r w:rsidRPr="00240019">
              <w:rPr>
                <w:rFonts w:ascii="Times New Roman" w:hAnsi="Times New Roman" w:cs="Times New Roman"/>
              </w:rPr>
              <w:t>El 30% de stalk-root presenta valores perdidos (etiquetados como ?).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14AAE" w14:textId="77777777" w:rsidR="00240019" w:rsidRPr="00240019" w:rsidRDefault="00240019" w:rsidP="00240019">
            <w:pPr>
              <w:ind w:left="360"/>
              <w:rPr>
                <w:rFonts w:ascii="Times New Roman" w:hAnsi="Times New Roman" w:cs="Times New Roman"/>
              </w:rPr>
            </w:pPr>
            <w:r w:rsidRPr="00240019">
              <w:rPr>
                <w:rFonts w:ascii="Times New Roman" w:hAnsi="Times New Roman" w:cs="Times New Roman"/>
              </w:rPr>
              <w:t xml:space="preserve">Se preservan como categoría </w:t>
            </w:r>
            <w:r w:rsidRPr="00240019">
              <w:rPr>
                <w:rFonts w:ascii="Times New Roman" w:hAnsi="Times New Roman" w:cs="Times New Roman"/>
                <w:b/>
                <w:bCs/>
              </w:rPr>
              <w:t>'unknown'</w:t>
            </w:r>
            <w:r w:rsidRPr="00240019">
              <w:rPr>
                <w:rFonts w:ascii="Times New Roman" w:hAnsi="Times New Roman" w:cs="Times New Roman"/>
              </w:rPr>
              <w:t xml:space="preserve"> para mantener la volumetría del dataset.</w:t>
            </w:r>
          </w:p>
        </w:tc>
      </w:tr>
      <w:tr w:rsidR="00240019" w:rsidRPr="00240019" w14:paraId="75CE6AB5" w14:textId="77777777" w:rsidTr="002400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902C6" w14:textId="77777777" w:rsidR="00240019" w:rsidRPr="00240019" w:rsidRDefault="00240019" w:rsidP="00240019">
            <w:pPr>
              <w:ind w:left="360"/>
              <w:rPr>
                <w:rFonts w:ascii="Times New Roman" w:hAnsi="Times New Roman" w:cs="Times New Roman"/>
              </w:rPr>
            </w:pPr>
            <w:r w:rsidRPr="00240019">
              <w:rPr>
                <w:rFonts w:ascii="Times New Roman" w:hAnsi="Times New Roman" w:cs="Times New Roman"/>
                <w:b/>
                <w:bCs/>
              </w:rPr>
              <w:t>Redundancia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C50B4" w14:textId="77777777" w:rsidR="00240019" w:rsidRPr="00240019" w:rsidRDefault="00240019" w:rsidP="00240019">
            <w:pPr>
              <w:ind w:left="360"/>
              <w:rPr>
                <w:rFonts w:ascii="Times New Roman" w:hAnsi="Times New Roman" w:cs="Times New Roman"/>
              </w:rPr>
            </w:pPr>
            <w:r w:rsidRPr="00240019">
              <w:rPr>
                <w:rFonts w:ascii="Times New Roman" w:hAnsi="Times New Roman" w:cs="Times New Roman"/>
              </w:rPr>
              <w:t>La variable veil-type es constante en todos los registros.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0DD16" w14:textId="77777777" w:rsidR="00240019" w:rsidRPr="00240019" w:rsidRDefault="00240019" w:rsidP="00240019">
            <w:pPr>
              <w:ind w:left="360"/>
              <w:rPr>
                <w:rFonts w:ascii="Times New Roman" w:hAnsi="Times New Roman" w:cs="Times New Roman"/>
              </w:rPr>
            </w:pPr>
            <w:r w:rsidRPr="00240019">
              <w:rPr>
                <w:rFonts w:ascii="Times New Roman" w:hAnsi="Times New Roman" w:cs="Times New Roman"/>
                <w:b/>
                <w:bCs/>
              </w:rPr>
              <w:t>Eliminación inmediata</w:t>
            </w:r>
            <w:r w:rsidRPr="00240019">
              <w:rPr>
                <w:rFonts w:ascii="Times New Roman" w:hAnsi="Times New Roman" w:cs="Times New Roman"/>
              </w:rPr>
              <w:t xml:space="preserve"> para evitar ruido y errores de división por cero en cálculos estadísticos.</w:t>
            </w:r>
          </w:p>
        </w:tc>
      </w:tr>
      <w:tr w:rsidR="00240019" w:rsidRPr="00240019" w14:paraId="1B4CA231" w14:textId="77777777" w:rsidTr="002400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09A2B" w14:textId="77777777" w:rsidR="00240019" w:rsidRPr="00240019" w:rsidRDefault="00240019" w:rsidP="00240019">
            <w:pPr>
              <w:ind w:left="360"/>
              <w:rPr>
                <w:rFonts w:ascii="Times New Roman" w:hAnsi="Times New Roman" w:cs="Times New Roman"/>
              </w:rPr>
            </w:pPr>
            <w:r w:rsidRPr="00240019">
              <w:rPr>
                <w:rFonts w:ascii="Times New Roman" w:hAnsi="Times New Roman" w:cs="Times New Roman"/>
                <w:b/>
                <w:bCs/>
              </w:rPr>
              <w:t>Separabilidad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71333" w14:textId="77777777" w:rsidR="00240019" w:rsidRPr="00240019" w:rsidRDefault="00240019" w:rsidP="00240019">
            <w:pPr>
              <w:ind w:left="360"/>
              <w:rPr>
                <w:rFonts w:ascii="Times New Roman" w:hAnsi="Times New Roman" w:cs="Times New Roman"/>
              </w:rPr>
            </w:pPr>
            <w:r w:rsidRPr="00240019">
              <w:rPr>
                <w:rFonts w:ascii="Times New Roman" w:hAnsi="Times New Roman" w:cs="Times New Roman"/>
              </w:rPr>
              <w:t>El dataset es altamente separable gracias a variables como odor.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8727C" w14:textId="77777777" w:rsidR="00240019" w:rsidRPr="00240019" w:rsidRDefault="00240019" w:rsidP="00240019">
            <w:pPr>
              <w:ind w:left="360"/>
              <w:rPr>
                <w:rFonts w:ascii="Times New Roman" w:hAnsi="Times New Roman" w:cs="Times New Roman"/>
              </w:rPr>
            </w:pPr>
            <w:r w:rsidRPr="00240019">
              <w:rPr>
                <w:rFonts w:ascii="Times New Roman" w:hAnsi="Times New Roman" w:cs="Times New Roman"/>
              </w:rPr>
              <w:t>Se anticipa una alta precisión (accuracy), incluso en modelos base.</w:t>
            </w:r>
          </w:p>
        </w:tc>
      </w:tr>
    </w:tbl>
    <w:p w14:paraId="10BFE6E3" w14:textId="77777777" w:rsidR="00240019" w:rsidRPr="00E93731" w:rsidRDefault="00240019" w:rsidP="00240019">
      <w:pPr>
        <w:ind w:left="360"/>
        <w:rPr>
          <w:rFonts w:ascii="Times New Roman" w:hAnsi="Times New Roman" w:cs="Times New Roman"/>
        </w:rPr>
      </w:pPr>
    </w:p>
    <w:p w14:paraId="22986ACB" w14:textId="77777777" w:rsidR="00240019" w:rsidRPr="00E93731" w:rsidRDefault="00240019" w:rsidP="00240019">
      <w:pPr>
        <w:ind w:left="360"/>
        <w:rPr>
          <w:rFonts w:ascii="Times New Roman" w:hAnsi="Times New Roman" w:cs="Times New Roman"/>
        </w:rPr>
      </w:pPr>
    </w:p>
    <w:p w14:paraId="2899DE9C" w14:textId="77777777" w:rsidR="00240019" w:rsidRPr="00E93731" w:rsidRDefault="00240019" w:rsidP="00240019">
      <w:pPr>
        <w:ind w:left="360"/>
        <w:rPr>
          <w:rFonts w:ascii="Times New Roman" w:hAnsi="Times New Roman" w:cs="Times New Roman"/>
        </w:rPr>
      </w:pPr>
    </w:p>
    <w:p w14:paraId="722DC3AF" w14:textId="77777777" w:rsidR="00240019" w:rsidRPr="00E93731" w:rsidRDefault="00240019" w:rsidP="00240019">
      <w:pPr>
        <w:ind w:left="360"/>
        <w:rPr>
          <w:rFonts w:ascii="Times New Roman" w:hAnsi="Times New Roman" w:cs="Times New Roman"/>
        </w:rPr>
      </w:pPr>
    </w:p>
    <w:p w14:paraId="34A62C8F" w14:textId="77777777" w:rsidR="00240019" w:rsidRPr="00E93731" w:rsidRDefault="00240019" w:rsidP="00240019">
      <w:pPr>
        <w:ind w:left="360"/>
        <w:rPr>
          <w:rFonts w:ascii="Times New Roman" w:hAnsi="Times New Roman" w:cs="Times New Roman"/>
        </w:rPr>
      </w:pPr>
    </w:p>
    <w:p w14:paraId="6420A4F2" w14:textId="77777777" w:rsidR="00240019" w:rsidRPr="00E93731" w:rsidRDefault="00240019" w:rsidP="00240019">
      <w:pPr>
        <w:ind w:left="360"/>
        <w:rPr>
          <w:rFonts w:ascii="Times New Roman" w:hAnsi="Times New Roman" w:cs="Times New Roman"/>
        </w:rPr>
      </w:pPr>
    </w:p>
    <w:p w14:paraId="5906EAA8" w14:textId="77777777" w:rsidR="00240019" w:rsidRPr="00E93731" w:rsidRDefault="00240019" w:rsidP="00240019">
      <w:pPr>
        <w:ind w:left="360"/>
        <w:rPr>
          <w:rFonts w:ascii="Times New Roman" w:hAnsi="Times New Roman" w:cs="Times New Roman"/>
        </w:rPr>
      </w:pPr>
    </w:p>
    <w:p w14:paraId="3362CC93" w14:textId="77777777" w:rsidR="00240019" w:rsidRPr="00E93731" w:rsidRDefault="00240019" w:rsidP="00240019">
      <w:pPr>
        <w:ind w:left="360"/>
        <w:rPr>
          <w:rFonts w:ascii="Times New Roman" w:hAnsi="Times New Roman" w:cs="Times New Roman"/>
        </w:rPr>
      </w:pPr>
    </w:p>
    <w:p w14:paraId="1EB56376" w14:textId="77777777" w:rsidR="00240019" w:rsidRPr="00E93731" w:rsidRDefault="00240019" w:rsidP="00240019">
      <w:pPr>
        <w:ind w:left="360"/>
        <w:rPr>
          <w:rFonts w:ascii="Times New Roman" w:hAnsi="Times New Roman" w:cs="Times New Roman"/>
        </w:rPr>
      </w:pPr>
    </w:p>
    <w:p w14:paraId="478131F4" w14:textId="3BF67DBA" w:rsidR="00240019" w:rsidRPr="00E93731" w:rsidRDefault="00240019" w:rsidP="00240019">
      <w:pPr>
        <w:ind w:left="360"/>
        <w:rPr>
          <w:rFonts w:ascii="Times New Roman" w:hAnsi="Times New Roman" w:cs="Times New Roman"/>
        </w:rPr>
      </w:pPr>
      <w:r w:rsidRPr="00E93731">
        <w:rPr>
          <w:rFonts w:ascii="Times New Roman" w:hAnsi="Times New Roman" w:cs="Times New Roman"/>
        </w:rPr>
        <w:lastRenderedPageBreak/>
        <w:t>Como análisis final hicimos una matris de asociación en la V de Cramer.</w:t>
      </w:r>
    </w:p>
    <w:p w14:paraId="129F778C" w14:textId="77777777" w:rsidR="00240019" w:rsidRPr="00240019" w:rsidRDefault="00240019" w:rsidP="00240019">
      <w:pPr>
        <w:ind w:left="360"/>
        <w:rPr>
          <w:rFonts w:ascii="Times New Roman" w:hAnsi="Times New Roman" w:cs="Times New Roman"/>
        </w:rPr>
      </w:pPr>
      <w:r w:rsidRPr="00240019">
        <w:rPr>
          <w:rFonts w:ascii="Times New Roman" w:hAnsi="Times New Roman" w:cs="Times New Roman"/>
        </w:rPr>
        <w:t>Basado en los valores de la matriz, se extraen los siguientes hallazgos estratégicos:</w:t>
      </w:r>
    </w:p>
    <w:p w14:paraId="0AB9FE8B" w14:textId="77777777" w:rsidR="00240019" w:rsidRPr="00240019" w:rsidRDefault="00240019" w:rsidP="0024001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40019">
        <w:rPr>
          <w:rFonts w:ascii="Times New Roman" w:hAnsi="Times New Roman" w:cs="Times New Roman"/>
          <w:b/>
          <w:bCs/>
        </w:rPr>
        <w:t>Identificación del Predictor Maestro:</w:t>
      </w:r>
      <w:r w:rsidRPr="00240019">
        <w:rPr>
          <w:rFonts w:ascii="Times New Roman" w:hAnsi="Times New Roman" w:cs="Times New Roman"/>
        </w:rPr>
        <w:t xml:space="preserve"> La variable spore-print-color (color de la espora) muestra la asociación más alta con la toxicidad (poisonous) con un valor de </w:t>
      </w:r>
      <w:r w:rsidRPr="00240019">
        <w:rPr>
          <w:rFonts w:ascii="Times New Roman" w:hAnsi="Times New Roman" w:cs="Times New Roman"/>
          <w:b/>
          <w:bCs/>
        </w:rPr>
        <w:t>0.75</w:t>
      </w:r>
      <w:r w:rsidRPr="00240019">
        <w:rPr>
          <w:rFonts w:ascii="Times New Roman" w:hAnsi="Times New Roman" w:cs="Times New Roman"/>
        </w:rPr>
        <w:t>. Esto indica que es una de las características más determinantes para clasificar una seta como venenosa o comestible.</w:t>
      </w:r>
    </w:p>
    <w:p w14:paraId="30124E75" w14:textId="2C87A623" w:rsidR="00240019" w:rsidRPr="00240019" w:rsidRDefault="00240019" w:rsidP="0024001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40019">
        <w:rPr>
          <w:rFonts w:ascii="Times New Roman" w:hAnsi="Times New Roman" w:cs="Times New Roman"/>
          <w:b/>
          <w:bCs/>
        </w:rPr>
        <w:t>Relevancia de las Láminas:</w:t>
      </w:r>
      <w:r w:rsidRPr="00240019">
        <w:rPr>
          <w:rFonts w:ascii="Times New Roman" w:hAnsi="Times New Roman" w:cs="Times New Roman"/>
        </w:rPr>
        <w:t xml:space="preserve"> La variable gill-size (tamaño de la lámina) presenta una correlación significativa de </w:t>
      </w:r>
      <w:r w:rsidRPr="00240019">
        <w:rPr>
          <w:rFonts w:ascii="Times New Roman" w:hAnsi="Times New Roman" w:cs="Times New Roman"/>
          <w:b/>
          <w:bCs/>
        </w:rPr>
        <w:t>0.54</w:t>
      </w:r>
      <w:r w:rsidRPr="00240019">
        <w:rPr>
          <w:rFonts w:ascii="Times New Roman" w:hAnsi="Times New Roman" w:cs="Times New Roman"/>
        </w:rPr>
        <w:t xml:space="preserve"> con la toxicidad. Esto sugiere que el modelo de Machine Learning (como un Random Forest) le asignará una importancia prioritaria.</w:t>
      </w:r>
    </w:p>
    <w:p w14:paraId="4958A3AA" w14:textId="77777777" w:rsidR="00240019" w:rsidRPr="00240019" w:rsidRDefault="00240019" w:rsidP="0024001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40019">
        <w:rPr>
          <w:rFonts w:ascii="Times New Roman" w:hAnsi="Times New Roman" w:cs="Times New Roman"/>
          <w:b/>
          <w:bCs/>
        </w:rPr>
        <w:t>Redundancia Detectada:</w:t>
      </w:r>
      <w:r w:rsidRPr="00240019">
        <w:rPr>
          <w:rFonts w:ascii="Times New Roman" w:hAnsi="Times New Roman" w:cs="Times New Roman"/>
        </w:rPr>
        <w:t xml:space="preserve"> Existe una asociación casi perfecta (</w:t>
      </w:r>
      <w:r w:rsidRPr="00240019">
        <w:rPr>
          <w:rFonts w:ascii="Times New Roman" w:hAnsi="Times New Roman" w:cs="Times New Roman"/>
          <w:b/>
          <w:bCs/>
        </w:rPr>
        <w:t>0.95</w:t>
      </w:r>
      <w:r w:rsidRPr="00240019">
        <w:rPr>
          <w:rFonts w:ascii="Times New Roman" w:hAnsi="Times New Roman" w:cs="Times New Roman"/>
        </w:rPr>
        <w:t>) entre veil-color y gill-attachment. Esto señala una redundancia de información; en un modelo avanzado, se podría considerar eliminar una de las dos para simplificar el algoritmo sin perder precisión.</w:t>
      </w:r>
    </w:p>
    <w:p w14:paraId="4A541825" w14:textId="7618B2C2" w:rsidR="00240019" w:rsidRPr="00240019" w:rsidRDefault="00240019" w:rsidP="0024001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40019">
        <w:rPr>
          <w:rFonts w:ascii="Times New Roman" w:hAnsi="Times New Roman" w:cs="Times New Roman"/>
          <w:b/>
          <w:bCs/>
        </w:rPr>
        <w:t>Variables de Bajo Impacto:</w:t>
      </w:r>
      <w:r w:rsidRPr="00240019">
        <w:rPr>
          <w:rFonts w:ascii="Times New Roman" w:hAnsi="Times New Roman" w:cs="Times New Roman"/>
        </w:rPr>
        <w:t xml:space="preserve"> Características como cap-shape (0.24) o cap-surface (0.20) tienen asociaciones débiles con la toxicidad por sí solas. Esto refuerza la idea de que la apariencia externa no es un indicador definitivo y se requiere un análisis multivariable.</w:t>
      </w:r>
    </w:p>
    <w:p w14:paraId="172F1D5C" w14:textId="28232277" w:rsidR="00240019" w:rsidRPr="00240019" w:rsidRDefault="00240019" w:rsidP="00240019">
      <w:pPr>
        <w:ind w:left="360"/>
        <w:rPr>
          <w:rFonts w:ascii="Times New Roman" w:hAnsi="Times New Roman" w:cs="Times New Roman"/>
        </w:rPr>
      </w:pPr>
      <w:r w:rsidRPr="00240019">
        <w:rPr>
          <w:rFonts w:ascii="Times New Roman" w:hAnsi="Times New Roman" w:cs="Times New Roman"/>
          <w:b/>
          <w:bCs/>
        </w:rPr>
        <w:t>Nota Estratégica:</w:t>
      </w:r>
      <w:r w:rsidRPr="00240019">
        <w:rPr>
          <w:rFonts w:ascii="Times New Roman" w:hAnsi="Times New Roman" w:cs="Times New Roman"/>
        </w:rPr>
        <w:t xml:space="preserve"> La alta separabilidad que muestran estas variables sugiere que el dataset es ideal para modelos de clasificación, permitiendo alcanzar métricas de precisión muy elevadas rápidamen</w:t>
      </w:r>
      <w:r w:rsidR="00E93731">
        <w:rPr>
          <w:noProof/>
        </w:rPr>
        <w:drawing>
          <wp:inline distT="0" distB="0" distL="0" distR="0" wp14:anchorId="66EDFBCE" wp14:editId="5190BE5A">
            <wp:extent cx="5036024" cy="3921760"/>
            <wp:effectExtent l="0" t="0" r="0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3799" cy="3966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0019">
        <w:rPr>
          <w:rFonts w:ascii="Times New Roman" w:hAnsi="Times New Roman" w:cs="Times New Roman"/>
        </w:rPr>
        <w:t>te</w:t>
      </w:r>
    </w:p>
    <w:p w14:paraId="0ED70AD5" w14:textId="77777777" w:rsidR="00240019" w:rsidRDefault="00240019" w:rsidP="00240019">
      <w:pPr>
        <w:ind w:left="360"/>
      </w:pPr>
    </w:p>
    <w:p w14:paraId="54FB55A7" w14:textId="6FBDA8D9" w:rsidR="00240019" w:rsidRPr="00D65301" w:rsidRDefault="00240019" w:rsidP="00240019">
      <w:pPr>
        <w:ind w:left="360"/>
      </w:pPr>
    </w:p>
    <w:p w14:paraId="58432063" w14:textId="472D7F4F" w:rsidR="00AF6933" w:rsidRDefault="00AF6933"/>
    <w:sectPr w:rsidR="00AF69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96C01"/>
    <w:multiLevelType w:val="multilevel"/>
    <w:tmpl w:val="7330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EA569C"/>
    <w:multiLevelType w:val="multilevel"/>
    <w:tmpl w:val="E0B2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0A3303"/>
    <w:multiLevelType w:val="multilevel"/>
    <w:tmpl w:val="55144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A2555B"/>
    <w:multiLevelType w:val="multilevel"/>
    <w:tmpl w:val="74FC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A02612"/>
    <w:multiLevelType w:val="multilevel"/>
    <w:tmpl w:val="88E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1C1EF6"/>
    <w:multiLevelType w:val="multilevel"/>
    <w:tmpl w:val="183A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363116">
    <w:abstractNumId w:val="2"/>
  </w:num>
  <w:num w:numId="2" w16cid:durableId="2040471968">
    <w:abstractNumId w:val="5"/>
  </w:num>
  <w:num w:numId="3" w16cid:durableId="1675456598">
    <w:abstractNumId w:val="3"/>
  </w:num>
  <w:num w:numId="4" w16cid:durableId="185221775">
    <w:abstractNumId w:val="4"/>
  </w:num>
  <w:num w:numId="5" w16cid:durableId="1004553169">
    <w:abstractNumId w:val="1"/>
  </w:num>
  <w:num w:numId="6" w16cid:durableId="266737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301"/>
    <w:rsid w:val="00187578"/>
    <w:rsid w:val="00240019"/>
    <w:rsid w:val="00384652"/>
    <w:rsid w:val="003A676A"/>
    <w:rsid w:val="007E4E44"/>
    <w:rsid w:val="008E1620"/>
    <w:rsid w:val="00904558"/>
    <w:rsid w:val="00923BAC"/>
    <w:rsid w:val="009A5A99"/>
    <w:rsid w:val="009B77F9"/>
    <w:rsid w:val="00AF6933"/>
    <w:rsid w:val="00B405E0"/>
    <w:rsid w:val="00D2102F"/>
    <w:rsid w:val="00D65301"/>
    <w:rsid w:val="00E93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89042"/>
  <w15:chartTrackingRefBased/>
  <w15:docId w15:val="{5E8E1C23-595E-4983-AACC-912DF453E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5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5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53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5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5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5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5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5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5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5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53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5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53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53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53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53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53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53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5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5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5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5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5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53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53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53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5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53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530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B77F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B77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6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7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86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953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43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8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68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4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21676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897782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6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387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816132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09376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212935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31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87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042288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299115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310316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26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0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726614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201158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733059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72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4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77301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916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068268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195982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08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691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586674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168628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284065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94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86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986687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545887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384507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76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264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18477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673711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041327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44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91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198024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763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940</Words>
  <Characters>5173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jajaj</dc:creator>
  <cp:keywords/>
  <dc:description/>
  <cp:lastModifiedBy>alex jajaj</cp:lastModifiedBy>
  <cp:revision>6</cp:revision>
  <dcterms:created xsi:type="dcterms:W3CDTF">2026-02-18T12:08:00Z</dcterms:created>
  <dcterms:modified xsi:type="dcterms:W3CDTF">2026-02-23T08:19:00Z</dcterms:modified>
</cp:coreProperties>
</file>