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B7CE09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Informe Ejecutivo</w:t>
      </w:r>
    </w:p>
    <w:p w14:paraId="49682FC5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Análisis Exploratorio de Datos –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Store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Games</w:t>
      </w:r>
      <w:proofErr w:type="spellEnd"/>
    </w:p>
    <w:p w14:paraId="3CFD8630" w14:textId="77777777" w:rsidR="00D44C26" w:rsidRPr="00D44C26" w:rsidRDefault="00D44C26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98D8612">
          <v:rect id="_x0000_i1025" style="width:0;height:1.5pt" o:hralign="center" o:hrstd="t" o:hr="t" fillcolor="#a0a0a0" stroked="f"/>
        </w:pict>
      </w:r>
    </w:p>
    <w:p w14:paraId="6511AF4F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1. Introducción y objetivo del análisis</w:t>
      </w:r>
    </w:p>
    <w:p w14:paraId="727F5BAA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objetivo de este análisis exploratorio de datos (EDA) es comprender en profundidad el comportamiento del catálogo de juegos disponibles en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, identificando patrones clave relacionados con popularidad, calidad percibida, modelo de negocio y adopción por parte de los jugadores.</w:t>
      </w:r>
    </w:p>
    <w:p w14:paraId="1AEC6D2A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Este informe está orientado a facilitar la toma de decisiones estratégicas a nivel ejecutivo, proporcionando conclusiones claras, apoyadas en datos, sobre qué factores influyen en el éxito de un videojuego dentro del ecosistema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B24A704" w14:textId="77777777" w:rsidR="00D44C26" w:rsidRPr="00D44C26" w:rsidRDefault="00D44C26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55D5128">
          <v:rect id="_x0000_i1026" style="width:0;height:1.5pt" o:hralign="center" o:hrstd="t" o:hr="t" fillcolor="#a0a0a0" stroked="f"/>
        </w:pict>
      </w:r>
    </w:p>
    <w:p w14:paraId="48283E96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2. Descripción del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dataset</w:t>
      </w:r>
      <w:proofErr w:type="spellEnd"/>
    </w:p>
    <w:p w14:paraId="4AF5DD54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análisis se ha realizado sobre el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dataset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Store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Games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Kaggle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), que contiene información de miles de juegos disponibles en la plataforma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. Entre las variables más relevantes se incluyen:</w:t>
      </w:r>
    </w:p>
    <w:p w14:paraId="5538BB60" w14:textId="77777777" w:rsidR="00D44C26" w:rsidRPr="00D44C26" w:rsidRDefault="00D44C26" w:rsidP="00D44C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Nombre del juego</w:t>
      </w:r>
    </w:p>
    <w:p w14:paraId="7C79463C" w14:textId="77777777" w:rsidR="00D44C26" w:rsidRPr="00D44C26" w:rsidRDefault="00D44C26" w:rsidP="00D44C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Precio</w:t>
      </w:r>
    </w:p>
    <w:p w14:paraId="53886F5F" w14:textId="77777777" w:rsidR="00D44C26" w:rsidRPr="00D44C26" w:rsidRDefault="00D44C26" w:rsidP="00D44C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Número de propietarios (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owners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), expresado como rango</w:t>
      </w:r>
    </w:p>
    <w:p w14:paraId="342567DA" w14:textId="77777777" w:rsidR="00D44C26" w:rsidRPr="00D44C26" w:rsidRDefault="00D44C26" w:rsidP="00D44C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Valoraciones positivas y negativas</w:t>
      </w:r>
    </w:p>
    <w:p w14:paraId="1A0DF5F5" w14:textId="77777777" w:rsidR="00D44C26" w:rsidRPr="00D44C26" w:rsidRDefault="00D44C26" w:rsidP="00D44C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Géneros y plataformas</w:t>
      </w:r>
    </w:p>
    <w:p w14:paraId="24A170BA" w14:textId="77777777" w:rsidR="00D44C26" w:rsidRPr="00D44C26" w:rsidRDefault="00D44C26" w:rsidP="00D44C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Fecha de lanzamiento</w:t>
      </w:r>
    </w:p>
    <w:p w14:paraId="606E564D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Debido a la naturaleza de algunas variables (por ejemplo,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owners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como rango), fue necesario un preprocesado previo para poder realizar análisis cuantitativos fiables.</w:t>
      </w:r>
    </w:p>
    <w:p w14:paraId="03F1B3CC" w14:textId="77777777" w:rsidR="00D44C26" w:rsidRPr="00D44C26" w:rsidRDefault="00D44C26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27FF45AC">
          <v:rect id="_x0000_i1027" style="width:0;height:1.5pt" o:hralign="center" o:hrstd="t" o:hr="t" fillcolor="#a0a0a0" stroked="f"/>
        </w:pict>
      </w:r>
    </w:p>
    <w:p w14:paraId="6A8B5B32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3. Limpieza y preprocesado de datos</w:t>
      </w:r>
    </w:p>
    <w:p w14:paraId="7F366EF1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Antes de comenzar el análisis, se llevaron a cabo las siguientes tareas:</w:t>
      </w:r>
    </w:p>
    <w:p w14:paraId="664B1553" w14:textId="77777777" w:rsidR="00D44C26" w:rsidRPr="00D44C26" w:rsidRDefault="00D44C26" w:rsidP="00D44C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Eliminación y tratamiento de valores nulos en columnas clave.</w:t>
      </w:r>
    </w:p>
    <w:p w14:paraId="697E0211" w14:textId="77777777" w:rsidR="00D44C26" w:rsidRPr="00D44C26" w:rsidRDefault="00D44C26" w:rsidP="00D44C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Conversión de fechas a formato temporal.</w:t>
      </w:r>
    </w:p>
    <w:p w14:paraId="22223C1D" w14:textId="77777777" w:rsidR="00D44C26" w:rsidRPr="00D44C26" w:rsidRDefault="00D44C26" w:rsidP="00D44C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Normalización de precios a valores numéricos.</w:t>
      </w:r>
    </w:p>
    <w:p w14:paraId="1668FAA1" w14:textId="77777777" w:rsidR="00D44C26" w:rsidRPr="00D44C26" w:rsidRDefault="00D44C26" w:rsidP="00D44C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Transformación de la variable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owners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, originalmente expresada como rango (por ejemplo, 20.000–30.000), a un valor promedio representativo.</w:t>
      </w:r>
    </w:p>
    <w:p w14:paraId="5463C103" w14:textId="77777777" w:rsidR="00D44C26" w:rsidRPr="00D44C26" w:rsidRDefault="00D44C26" w:rsidP="00D44C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Creación de nuevas métricas derivadas, como:</w:t>
      </w:r>
    </w:p>
    <w:p w14:paraId="11F077B8" w14:textId="77777777" w:rsidR="00D44C26" w:rsidRPr="00D44C26" w:rsidRDefault="00D44C26" w:rsidP="00D44C2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Total</w:t>
      </w:r>
      <w:proofErr w:type="gram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valoraciones</w:t>
      </w:r>
    </w:p>
    <w:p w14:paraId="512D8956" w14:textId="77777777" w:rsidR="00D44C26" w:rsidRPr="00D44C26" w:rsidRDefault="00D44C26" w:rsidP="00D44C2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Ratio de valoraciones positivas</w:t>
      </w:r>
    </w:p>
    <w:p w14:paraId="5AFA8A9F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Este proceso permitió trabajar con datos coherentes y comparables a lo largo de todo el análisis.</w:t>
      </w:r>
    </w:p>
    <w:p w14:paraId="58A4E28E" w14:textId="77777777" w:rsidR="00D44C26" w:rsidRPr="00D44C26" w:rsidRDefault="00D44C26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07209EAC">
          <v:rect id="_x0000_i1028" style="width:0;height:1.5pt" o:hralign="center" o:hrstd="t" o:hr="t" fillcolor="#a0a0a0" stroked="f"/>
        </w:pict>
      </w:r>
    </w:p>
    <w:p w14:paraId="489457E6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4. Análisis descriptivo general</w:t>
      </w:r>
    </w:p>
    <w:p w14:paraId="7DFCE51F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El análisis inicial mostró una fuerte concentración de juegos en rangos de precio bajos, así como una distribución altamente desigual en el número de jugadores: pocos juegos concentran una gran parte de la base total de usuarios.</w:t>
      </w:r>
    </w:p>
    <w:p w14:paraId="69EEDCE8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comportamiento es consistente con mercados digitales, donde unos pocos títulos dominan en popularidad mientras la mayoría mantiene una adopción limitada.</w:t>
      </w:r>
    </w:p>
    <w:p w14:paraId="0B9D99DC" w14:textId="77777777" w:rsidR="00D44C26" w:rsidRPr="00D44C26" w:rsidRDefault="00D44C26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0973CF08">
          <v:rect id="_x0000_i1029" style="width:0;height:1.5pt" o:hralign="center" o:hrstd="t" o:hr="t" fillcolor="#a0a0a0" stroked="f"/>
        </w:pict>
      </w:r>
    </w:p>
    <w:p w14:paraId="38243DC7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5. Valoraciones de usuarios y calidad percibida</w:t>
      </w:r>
    </w:p>
    <w:p w14:paraId="6162BF40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Para evaluar la calidad percibida de los juegos, se analizó la relación entre valoraciones positivas y negativas. En lugar de utilizar únicamente el número absoluto de valoraciones positivas, se construyó </w:t>
      </w:r>
      <w:proofErr w:type="gram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un </w:t>
      </w:r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ratio</w:t>
      </w:r>
      <w:proofErr w:type="gramEnd"/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de valoraciones positivas</w:t>
      </w: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que permite una comparación más justa entre juegos con distinto volumen de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reviews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44FF0CA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Se aplicaron filtros mínimos de valoraciones totales para evitar sesgos causados por juegos con pocas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reviews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29D5367F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El análisis revela que los juegos con mejor ratio de valoraciones positivas tienden a mantener una percepción de calidad consistente entre los usuarios, independientemente de su volumen de ventas.</w:t>
      </w:r>
    </w:p>
    <w:p w14:paraId="73987A0E" w14:textId="77777777" w:rsidR="00D44C26" w:rsidRPr="00D44C26" w:rsidRDefault="00D44C26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3ADA0F44">
          <v:rect id="_x0000_i1030" style="width:0;height:1.5pt" o:hralign="center" o:hrstd="t" o:hr="t" fillcolor="#a0a0a0" stroked="f"/>
        </w:pict>
      </w:r>
    </w:p>
    <w:p w14:paraId="3B8F55B6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6. Relación entre popularidad y valoraciones</w:t>
      </w:r>
    </w:p>
    <w:p w14:paraId="04D7ECE1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Se estudió la relación entre el número estimado de jugadores (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owners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promedio) y </w:t>
      </w:r>
      <w:proofErr w:type="gram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el ratio</w:t>
      </w:r>
      <w:proofErr w:type="gram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valoraciones positivas mediante análisis de correlación.</w:t>
      </w:r>
    </w:p>
    <w:p w14:paraId="6AA72B55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Los resultados indican que existe una relación positiva entre la percepción de calidad del juego y su nivel de adopción, lo que sugiere que la satisfacción del usuario juega un papel relevante en la expansión de la base de jugadores.</w:t>
      </w:r>
    </w:p>
    <w:p w14:paraId="2A36538B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Este hallazgo refuerza la importancia de la calidad del producto y la experiencia del usuario como motores de crecimiento.</w:t>
      </w:r>
    </w:p>
    <w:p w14:paraId="012FB20C" w14:textId="77777777" w:rsidR="00D44C26" w:rsidRPr="00D44C26" w:rsidRDefault="00D44C26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A8887BB">
          <v:rect id="_x0000_i1031" style="width:0;height:1.5pt" o:hralign="center" o:hrstd="t" o:hr="t" fillcolor="#a0a0a0" stroked="f"/>
        </w:pict>
      </w:r>
    </w:p>
    <w:p w14:paraId="1DCE32D4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lastRenderedPageBreak/>
        <w:t>7. Análisis del modelo de negocio: juegos gratuitos vs de pago</w:t>
      </w:r>
    </w:p>
    <w:p w14:paraId="0A80B8E6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Se comparó el número medio de jugadores entre juegos gratuitos (free-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-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play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) y juegos de pago.</w:t>
      </w:r>
    </w:p>
    <w:p w14:paraId="07421248" w14:textId="281194B1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El análisis estadístico muestra que los juegos gratuitos tienden a alcanzar una base de usuarios significativamente mayor que los juegos de pago, lo que confirma la efectividad del modelo free-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-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play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como estrategia de captación masiva.</w:t>
      </w:r>
    </w:p>
    <w:p w14:paraId="0CC41144" w14:textId="24407FDB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No obstante, este resultado no implica necesariamente una mayor rentabilidad, sino una mayor capacidad de adopción inicial.</w:t>
      </w:r>
      <w:r w:rsidRPr="00D44C26">
        <w:rPr>
          <w:rFonts w:ascii="Times New Roman" w:eastAsia="Times New Roman" w:hAnsi="Times New Roman" w:cs="Times New Roman"/>
          <w:noProof/>
          <w:sz w:val="24"/>
          <w:szCs w:val="24"/>
          <w:lang w:eastAsia="es-ES"/>
        </w:rPr>
        <w:t xml:space="preserve"> </w: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s-ES"/>
        </w:rPr>
        <w:drawing>
          <wp:inline distT="0" distB="0" distL="0" distR="0" wp14:anchorId="07E7A516" wp14:editId="128569E4">
            <wp:extent cx="5394960" cy="4282440"/>
            <wp:effectExtent l="0" t="0" r="0" b="3810"/>
            <wp:docPr id="1" name="Imagen 1" descr="Gráfico, Gráfico de dispers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Gráfico, Gráfico de dispers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702E7" w14:textId="77777777" w:rsidR="00D44C26" w:rsidRPr="00D44C26" w:rsidRDefault="00D44C26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2CBFD94">
          <v:rect id="_x0000_i1032" style="width:0;height:1.5pt" o:hralign="center" o:hrstd="t" o:hr="t" fillcolor="#a0a0a0" stroked="f"/>
        </w:pict>
      </w:r>
    </w:p>
    <w:p w14:paraId="4B974C05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8. Juegos más populares en </w:t>
      </w:r>
      <w:proofErr w:type="spellStart"/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Steam</w:t>
      </w:r>
      <w:proofErr w:type="spellEnd"/>
    </w:p>
    <w:p w14:paraId="064C33C9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Se identificaron los </w:t>
      </w:r>
      <w:r w:rsidRPr="00D44C2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top 10 juegos con mayor número de valoraciones totales</w:t>
      </w: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analizando de forma conjunta las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reviews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positivas y negativas.</w:t>
      </w:r>
    </w:p>
    <w:p w14:paraId="346B62F0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La visualización comparativa permite observar que, incluso entre los juegos más populares, existen diferencias notables en la proporción de valoraciones negativas, lo que aporta una visión más matizada del éxito: popularidad no siempre equivale a calidad percibida perfecta.</w:t>
      </w:r>
    </w:p>
    <w:p w14:paraId="16BF5E84" w14:textId="77777777" w:rsidR="00D44C26" w:rsidRPr="00D44C26" w:rsidRDefault="00D44C26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pict w14:anchorId="26CBFF25">
          <v:rect id="_x0000_i1033" style="width:0;height:1.5pt" o:hralign="center" o:hrstd="t" o:hr="t" fillcolor="#a0a0a0" stroked="f"/>
        </w:pict>
      </w:r>
    </w:p>
    <w:p w14:paraId="4699B2D0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9. Implicaciones estratégicas</w:t>
      </w:r>
    </w:p>
    <w:p w14:paraId="116DACA2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A partir de los análisis realizados, se pueden extraer varias conclusiones clave:</w:t>
      </w:r>
    </w:p>
    <w:p w14:paraId="378478E0" w14:textId="77777777" w:rsidR="00D44C26" w:rsidRPr="00D44C26" w:rsidRDefault="00D44C26" w:rsidP="00D44C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La calidad percibida por los usuarios tiene un impacto real y medible en la adopción de los juegos.</w:t>
      </w:r>
    </w:p>
    <w:p w14:paraId="701E01CA" w14:textId="77777777" w:rsidR="00D44C26" w:rsidRPr="00D44C26" w:rsidRDefault="00D44C26" w:rsidP="00D44C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El modelo free-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to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-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play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 altamente eficaz para maximizar el alcance, aunque debe evaluarse junto con métricas de monetización.</w:t>
      </w:r>
    </w:p>
    <w:p w14:paraId="4A37891C" w14:textId="77777777" w:rsidR="00D44C26" w:rsidRPr="00D44C26" w:rsidRDefault="00D44C26" w:rsidP="00D44C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La popularidad extrema está concentrada en un número reducido de títulos, lo que indica un mercado competitivo y altamente desigual.</w:t>
      </w:r>
    </w:p>
    <w:p w14:paraId="4F93D236" w14:textId="77777777" w:rsidR="00D44C26" w:rsidRPr="00D44C26" w:rsidRDefault="00D44C26" w:rsidP="00D44C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Las valoraciones negativas, incluso en juegos muy populares, representan una oportunidad clara de mejora continua.</w:t>
      </w:r>
    </w:p>
    <w:p w14:paraId="74F42FB1" w14:textId="77777777" w:rsidR="00D44C26" w:rsidRPr="00D44C26" w:rsidRDefault="00D44C26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B07E2E3">
          <v:rect id="_x0000_i1034" style="width:0;height:1.5pt" o:hralign="center" o:hrstd="t" o:hr="t" fillcolor="#a0a0a0" stroked="f"/>
        </w:pict>
      </w:r>
    </w:p>
    <w:p w14:paraId="56D67D7B" w14:textId="77777777" w:rsidR="00D44C26" w:rsidRPr="00D44C26" w:rsidRDefault="00D44C26" w:rsidP="00D44C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10. </w:t>
      </w:r>
      <w:proofErr w:type="gramStart"/>
      <w:r w:rsidRPr="00D44C2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Conclusión final</w:t>
      </w:r>
      <w:proofErr w:type="gramEnd"/>
    </w:p>
    <w:p w14:paraId="7D98ABF9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Este análisis exploratorio demuestra que el éxito en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está impulsado por una combinación de calidad percibida, modelo de negocio y visibilidad. Los datos respaldan la idea de que invertir en experiencia de usuario y accesibilidad puede traducirse en una mayor base de jugadores.</w:t>
      </w:r>
    </w:p>
    <w:p w14:paraId="650A7CEB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enfoque basado en datos presentado en este informe proporciona una base sólida para decisiones estratégicas futuras relacionadas con desarrollo, publicación y posicionamiento de juegos dentro de la plataforma </w:t>
      </w:r>
      <w:proofErr w:type="spellStart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Steam</w:t>
      </w:r>
      <w:proofErr w:type="spellEnd"/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5E67412D" w14:textId="77777777" w:rsidR="00D44C26" w:rsidRPr="00D44C26" w:rsidRDefault="00D44C26" w:rsidP="00D44C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898245C">
          <v:rect id="_x0000_i1035" style="width:0;height:1.5pt" o:hralign="center" o:hrstd="t" o:hr="t" fillcolor="#a0a0a0" stroked="f"/>
        </w:pict>
      </w:r>
    </w:p>
    <w:p w14:paraId="3A3C3437" w14:textId="77777777" w:rsidR="00D44C26" w:rsidRPr="00D44C26" w:rsidRDefault="00D44C26" w:rsidP="00D44C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44C26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Las visualizaciones correspondientes a cada sección se adjuntan de forma independiente para su inclusión en el informe final en PDF.</w:t>
      </w:r>
    </w:p>
    <w:p w14:paraId="1ABDA6C6" w14:textId="77777777" w:rsidR="00B575A1" w:rsidRDefault="00B575A1"/>
    <w:sectPr w:rsidR="00B575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B23D08"/>
    <w:multiLevelType w:val="multilevel"/>
    <w:tmpl w:val="1AE2B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0557E3"/>
    <w:multiLevelType w:val="multilevel"/>
    <w:tmpl w:val="EC42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A0A62"/>
    <w:multiLevelType w:val="multilevel"/>
    <w:tmpl w:val="E618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0069403">
    <w:abstractNumId w:val="2"/>
  </w:num>
  <w:num w:numId="2" w16cid:durableId="1855343798">
    <w:abstractNumId w:val="1"/>
  </w:num>
  <w:num w:numId="3" w16cid:durableId="664168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C26"/>
    <w:rsid w:val="001E0E68"/>
    <w:rsid w:val="00A42DEE"/>
    <w:rsid w:val="00B575A1"/>
    <w:rsid w:val="00CA0D92"/>
    <w:rsid w:val="00D44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A92D"/>
  <w15:chartTrackingRefBased/>
  <w15:docId w15:val="{09E90D1C-50EF-4822-8706-8BB4F2D13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D44C2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D44C2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44C26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D44C26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D44C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44C26"/>
    <w:rPr>
      <w:b/>
      <w:bCs/>
    </w:rPr>
  </w:style>
  <w:style w:type="character" w:styleId="nfasis">
    <w:name w:val="Emphasis"/>
    <w:basedOn w:val="Fuentedeprrafopredeter"/>
    <w:uiPriority w:val="20"/>
    <w:qFormat/>
    <w:rsid w:val="00D44C2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56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871</Words>
  <Characters>4796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BOSCO</dc:creator>
  <cp:keywords/>
  <dc:description/>
  <cp:lastModifiedBy>DON BOSCO</cp:lastModifiedBy>
  <cp:revision>1</cp:revision>
  <dcterms:created xsi:type="dcterms:W3CDTF">2025-12-15T13:14:00Z</dcterms:created>
  <dcterms:modified xsi:type="dcterms:W3CDTF">2025-12-15T13:27:00Z</dcterms:modified>
</cp:coreProperties>
</file>