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 TC/QÐ/TVQT Về việc giao trụ sở làm việc cho Công ty bảo hiểm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01 TC/QĐ/TVQT</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VỀ VIỆC GIAO TRỤ SỞ LÀM VIỆC CHO CÔNG TY BẢO HIỂM THÀNH PHỐ HỒ CHÍ MINH</w:t>
      </w:r>
    </w:p>
    <w:p>
      <w:pPr>
        <w:jc w:val="center"/>
      </w:pPr>
      <w:r>
        <w:rPr>
          <w:b/>
          <w:i w:val="0"/>
        </w:rPr>
        <w:t xml:space="preserve"> Bộ trưởng Bộ tài chính</w:t>
      </w:r>
    </w:p>
    <w:p>
      <w:r>
        <w:rPr>
          <w:b/>
          <w:i w:val="0"/>
        </w:rPr>
        <w:t xml:space="preserve"> </w:t>
      </w:r>
      <w:r>
        <w:rPr>
          <w:b w:val="0"/>
          <w:i w:val="0"/>
        </w:rPr>
        <w:t>Căn cứ Nghị định số 15/CP ngày 02/3/1993 của Chính phủ về nhiệm vụ quyền hạn và trách nhiệm quản lý Nhà nước của Bộ, cơ quan ngang Bộ;</w:t>
      </w:r>
    </w:p>
    <w:p>
      <w:r>
        <w:rPr>
          <w:b w:val="0"/>
          <w:i w:val="0"/>
        </w:rPr>
        <w:t>Căn cứ Nghị định số 178/CP ngày 28/10/1994 của Chính phủ về nhiệm vụ, quyền hạn và tổ chức bộ máy Bộ Tài chính;</w:t>
      </w:r>
    </w:p>
    <w:p>
      <w:r>
        <w:rPr>
          <w:b w:val="0"/>
          <w:i w:val="0"/>
        </w:rPr>
        <w:t>Căn cứ vào Thông báo đồng ý thành lập doanh nghiệp Nhà nước số 154/TB ngày 23/11/1994 của Văn phòng Chính phủ;</w:t>
      </w:r>
    </w:p>
    <w:p>
      <w:r>
        <w:rPr>
          <w:b w:val="0"/>
          <w:i w:val="0"/>
        </w:rPr>
        <w:t>Căn cứ Quyết định số 1164TC/ QĐ/TCCB ngày 28/11/1994 của Bộ Tài chính về việc thành lập Công ty bảo hiểm thành phố Hồ Chí Minh;</w:t>
      </w:r>
    </w:p>
    <w:p>
      <w:r>
        <w:rPr>
          <w:b w:val="0"/>
          <w:i w:val="0"/>
        </w:rPr>
        <w:t>Theo đề nghị của Vụ trưởng Vụ Tài vụ quản trị Bộ Tài chính, Chánh Văn phòng Bộ Tài chính, Tổng giám đốc Công ty bảo hiểm Việt Nam và đồng chí Giám đốc Công ty bảo hiểm thành phố Hồ Chí Minh.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Điều 1</w:t>
            </w:r>
            <w:r>
              <w:rPr>
                <w:b w:val="0"/>
                <w:i w:val="0"/>
              </w:rPr>
              <w:t>:</w:t>
            </w:r>
          </w:p>
        </w:tc>
        <w:tc>
          <w:tcPr>
            <w:tcW w:type="dxa" w:w="4320"/>
          </w:tcPr>
          <w:p>
            <w:r>
              <w:rPr>
                <w:b w:val="0"/>
                <w:i w:val="0"/>
              </w:rPr>
              <w:br/>
            </w:r>
            <w:r>
              <w:rPr>
                <w:b w:val="0"/>
                <w:i w:val="0"/>
              </w:rPr>
              <w:t xml:space="preserve">Chuyển giao ngôi nhà số 26 Tôn Thất Đạm- Quận 1 thành phố Hồ Chí Minh cho Công ty bảo hiểm thành phố Hồ Chí Minh quản lý và sử dụng theo đúng nhiệm vụ được giao.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