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01/2022/NQ-HĐND Quy định mức thu học phí trong năm học 2022-2023 và vùng thu học phí từ năm học 2022-2023 đối với cơ sở giáo dục thuộc hệ thống giáo dục quốc dân trên địa bàn tỉnh Ninh Thuận</w:t>
      </w:r>
    </w:p>
    <w:p>
      <w:r>
        <w:rPr>
          <w:b w:val="0"/>
          <w:i w:val="0"/>
        </w:rPr>
        <w:br/>
      </w:r>
      <w:r>
        <w:rPr>
          <w:b w:val="0"/>
          <w:i w:val="0"/>
        </w:rPr>
        <w:br/>
      </w:r>
      <w:r>
        <w:rPr>
          <w:b/>
          <w:i w:val="0"/>
        </w:rPr>
        <w:t>HỘI ĐỒNG NHÂN DÂN</w:t>
      </w:r>
      <w:r>
        <w:br/>
      </w:r>
      <w:r>
        <w:rPr>
          <w:b/>
          <w:i w:val="0"/>
        </w:rPr>
        <w:br/>
        <w:t xml:space="preserve">        TỈNH NINH THUẬN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br/>
      </w:r>
    </w:p>
    <w:p>
      <w:r>
        <w:rPr>
          <w:b w:val="0"/>
          <w:i w:val="0"/>
        </w:rPr>
        <w:br/>
      </w:r>
      <w:r>
        <w:rPr>
          <w:b/>
          <w:i w:val="0"/>
        </w:rPr>
        <w:t>HỘI ĐỒNG NHÂN DÂN</w:t>
      </w:r>
      <w:r>
        <w:br/>
      </w:r>
      <w:r>
        <w:rPr>
          <w:b/>
          <w:i w:val="0"/>
        </w:rPr>
        <w:br/>
        <w:t xml:space="preserve">        TỈNH NINH THUẬN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p>
    <w:p>
      <w:r>
        <w:rPr>
          <w:b w:val="0"/>
          <w:i w:val="0"/>
        </w:rPr>
        <w:br/>
      </w:r>
      <w:r>
        <w:rPr>
          <w:b w:val="0"/>
          <w:i w:val="0"/>
        </w:rPr>
        <w:br/>
      </w:r>
      <w:r>
        <w:rPr>
          <w:b w:val="0"/>
          <w:i/>
        </w:rPr>
        <w:t xml:space="preserve">  Số: 01/2022/NQHĐND</w:t>
      </w:r>
      <w:r>
        <w:rPr>
          <w:b w:val="0"/>
          <w:i w:val="0"/>
        </w:rPr>
        <w:br/>
      </w:r>
      <w:r>
        <w:rPr>
          <w:b w:val="0"/>
          <w:i w:val="0"/>
        </w:rPr>
        <w:br/>
      </w:r>
      <w:r>
        <w:rPr>
          <w:b w:val="0"/>
          <w:i w:val="0"/>
        </w:rPr>
        <w:br/>
      </w:r>
      <w:r>
        <w:rPr>
          <w:b w:val="0"/>
          <w:i/>
        </w:rPr>
        <w:t xml:space="preserve"> Ninh Thuận, ngày 25 tháng 3 năm 2022</w:t>
      </w:r>
      <w:r>
        <w:rPr>
          <w:b w:val="0"/>
          <w:i w:val="0"/>
        </w:rPr>
        <w:br/>
      </w:r>
      <w:r>
        <w:rPr>
          <w:b w:val="0"/>
          <w:i w:val="0"/>
        </w:rPr>
        <w:br/>
      </w:r>
    </w:p>
    <w:p>
      <w:r>
        <w:rPr>
          <w:b w:val="0"/>
          <w:i w:val="0"/>
        </w:rPr>
        <w:br/>
      </w:r>
      <w:r>
        <w:rPr>
          <w:b w:val="0"/>
          <w:i/>
        </w:rPr>
        <w:t xml:space="preserve">  Số: 01/2022/NQHĐND</w:t>
      </w:r>
      <w:r>
        <w:rPr>
          <w:b w:val="0"/>
          <w:i w:val="0"/>
        </w:rPr>
        <w:br/>
      </w:r>
    </w:p>
    <w:p>
      <w:r>
        <w:rPr>
          <w:b w:val="0"/>
          <w:i w:val="0"/>
        </w:rPr>
        <w:br/>
      </w:r>
      <w:r>
        <w:rPr>
          <w:b w:val="0"/>
          <w:i/>
        </w:rPr>
        <w:t xml:space="preserve"> Ninh Thuận, ngày 25 tháng 3 năm 2022</w:t>
      </w:r>
      <w:r>
        <w:rPr>
          <w:b w:val="0"/>
          <w:i w:val="0"/>
        </w:rPr>
        <w:br/>
      </w:r>
    </w:p>
    <w:p>
      <w:pPr>
        <w:jc w:val="center"/>
      </w:pPr>
      <w:r>
        <w:rPr>
          <w:b/>
          <w:i w:val="0"/>
        </w:rPr>
        <w:t>NGHỊ QUYẾT</w:t>
      </w:r>
      <w:r>
        <w:br/>
      </w:r>
      <w:r>
        <w:rPr>
          <w:b/>
          <w:i w:val="0"/>
        </w:rPr>
        <w:br/>
        <w:t xml:space="preserve">      Quy định mức thu học phí trong năm học 2022-2023 và vùng thu học phí từ năm học 2022-2023 đối với cơ sở giáo dục thuộc hệ thống giáo dục quốc dân trên địa bàn tỉnh Ninh Thuận</w:t>
      </w:r>
    </w:p>
    <w:p>
      <w:pPr>
        <w:jc w:val="center"/>
      </w:pPr>
      <w:r>
        <w:rPr>
          <w:b/>
          <w:i w:val="0"/>
        </w:rPr>
        <w:t>HỘI ĐỒNG NHÂN DÂN TỈNH NINH THUẬN</w:t>
      </w:r>
      <w:r>
        <w:br/>
      </w:r>
      <w:r>
        <w:rPr>
          <w:b/>
          <w:i w:val="0"/>
        </w:rPr>
        <w:br/>
        <w:t xml:space="preserve">      KHÓA XI KỲ HỌP THỨ 4</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Ngân sách nhà nước ngày 25 tháng 6 năm 2015;</w:t>
      </w:r>
    </w:p>
    <w:p>
      <w:r>
        <w:rPr>
          <w:b w:val="0"/>
          <w:i/>
        </w:rPr>
        <w:t>Căn cứ Luật Giá ngày 20 tháng 6 năm 2012;</w:t>
      </w:r>
    </w:p>
    <w:p>
      <w:r>
        <w:rPr>
          <w:b w:val="0"/>
          <w:i/>
        </w:rPr>
        <w:t>Căn cứ Luật Giáo dục ngày 14 tháng 6 năm 2019;</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r>
        <w:rPr>
          <w:b w:val="0"/>
          <w:i/>
        </w:rPr>
        <w:t>Căn cứ Nghị quyết số 30a/2008/NQ-CP ngày 27 tháng 12 năm 2008 của Chính phủ về Chương trình hỗ trợ giảm nghèo nhanh và bền vững đối với 61 huyện nghèo;</w:t>
      </w:r>
    </w:p>
    <w:p>
      <w:r>
        <w:rPr>
          <w:b w:val="0"/>
          <w:i/>
        </w:rPr>
        <w:t>Thực hiện Quyết định 861/QĐ-TTg ngày 04 tháng 6 năm 2021 của Thủ tướng Chính phủ, phê duyệt danh sách các xã khu vực III, khu vực II, Khu vực I thuộc vùng đồng bào dân tộc thiểu số và miền núi giai đoạn 2021-2025;</w:t>
      </w:r>
    </w:p>
    <w:p>
      <w:r>
        <w:rPr>
          <w:b w:val="0"/>
          <w:i/>
        </w:rPr>
        <w:t>Thực hiện Quyết định số 612/QĐ-UBDT ngày 16 tháng 9 năm 2021 của Ủy ban Dân tộc phê duyệt danh sách thôn đặc biệt khó khăn vùng đồng bào dân tộc thiểu số và miền núi giai đoạn 2021-2025;</w:t>
      </w:r>
    </w:p>
    <w:p>
      <w:r>
        <w:rPr>
          <w:b w:val="0"/>
          <w:i/>
        </w:rPr>
        <w:t>Thực hiện Quyết định số 353/QĐ-TTg ngày 15/3/2022 của Thủ tướng Chính phủ về phê duyệt danh sách huyện nghèo, xã đặc biệt khó khăn vùng bãi ngang, ven biển và hải đảo giai đoạn 2021- 2025;</w:t>
      </w:r>
    </w:p>
    <w:p>
      <w:r>
        <w:rPr>
          <w:b w:val="0"/>
          <w:i/>
        </w:rPr>
        <w:t>Xét Tờ trình số 22/TTr-UBND ngày 02 tháng 3 năm 2022 của Ủy ban nhân dân tỉnh trình Hội đồng nhân dân tỉnh Quy định mức thu học phí đối với cơ sở giáo dục thuộc hệ thống giáo dục quốc dân trong năm học 2022-2023 trên địa bàn tỉnh Ninh Thuận; Báo cáo thẩm tra của Ban Văn hóa - Xã hội và ý kiến thảo luận của đại biểu Hội đồng nhân dân tỉnh tại kỳ họp.</w:t>
      </w:r>
    </w:p>
    <w:p>
      <w:pPr>
        <w:jc w:val="center"/>
      </w:pPr>
      <w:r>
        <w:rPr>
          <w:b/>
          <w:i w:val="0"/>
        </w:rPr>
        <w:t>QUYẾT NGHỊ:</w:t>
      </w:r>
    </w:p>
    <w:p>
      <w:r>
        <w:rPr>
          <w:b/>
          <w:i w:val="0"/>
        </w:rPr>
        <w:t>Điều 1. Phạm vi điều chỉnh và đối tượng áp dụng</w:t>
      </w:r>
    </w:p>
    <w:p>
      <w:r>
        <w:rPr>
          <w:b w:val="0"/>
          <w:i w:val="0"/>
        </w:rPr>
        <w:t>1. Phạm vi điều chỉnh</w:t>
      </w:r>
    </w:p>
    <w:p>
      <w:r>
        <w:rPr>
          <w:b w:val="0"/>
          <w:i w:val="0"/>
        </w:rPr>
        <w:t>Nghị quyết này quy định mức thu học phí trong năm học 2022-2023 và vùng thu học phí từ năm học 2022-2023 đối với cơ sở giáo dục thuộc hệ thống giáo dục quốc dân trên địa bàn tỉnh Ninh Thuận.</w:t>
      </w:r>
    </w:p>
    <w:p>
      <w:r>
        <w:rPr>
          <w:b w:val="0"/>
          <w:i w:val="0"/>
        </w:rPr>
        <w:t>2. Đối tượng áp dụng</w:t>
      </w:r>
    </w:p>
    <w:p>
      <w:r>
        <w:rPr>
          <w:b w:val="0"/>
          <w:i w:val="0"/>
        </w:rPr>
        <w:t>-Trẻ em mầm non và học sinh phổ thông hệ công lập; học sinh, học viên học tại cơ sở giáo dục thường xuyên theo chương trình giáo dục phổ thông.</w:t>
      </w:r>
    </w:p>
    <w:p>
      <w:r>
        <w:rPr>
          <w:b w:val="0"/>
          <w:i w:val="0"/>
        </w:rPr>
        <w:t>-Cơ quan, tổ chức, cá nhân có liên quan khác trên địa bàn tỉnh Ninh Thuận.</w:t>
      </w:r>
    </w:p>
    <w:p>
      <w:r>
        <w:rPr>
          <w:b/>
          <w:i w:val="0"/>
        </w:rPr>
        <w:t>Điều 2. Mức thu và vùng thu học phí đối với giáo dục mầm non, phổ thông hệ công lập</w:t>
      </w:r>
    </w:p>
    <w:p>
      <w:r>
        <w:rPr>
          <w:b w:val="0"/>
          <w:i w:val="0"/>
        </w:rPr>
        <w:t>1. Mức thu học phí (đính kèm Phụ lục I).</w:t>
      </w:r>
    </w:p>
    <w:p>
      <w:r>
        <w:rPr>
          <w:b w:val="0"/>
          <w:i w:val="0"/>
        </w:rPr>
        <w:t>2. Vùng thu học phí (đính kèm Phụ lục II).</w:t>
      </w:r>
    </w:p>
    <w:p>
      <w:r>
        <w:rPr>
          <w:b/>
          <w:i w:val="0"/>
        </w:rPr>
        <w:t>Điều 3. Thời gian thực hiện</w:t>
      </w:r>
    </w:p>
    <w:p>
      <w:r>
        <w:rPr>
          <w:b w:val="0"/>
          <w:i w:val="0"/>
        </w:rPr>
        <w:t>1. Mức thu học phí thực hiện trong năm học 2022-2023.</w:t>
      </w:r>
    </w:p>
    <w:p>
      <w:r>
        <w:rPr>
          <w:b w:val="0"/>
          <w:i w:val="0"/>
        </w:rPr>
        <w:t>2. Vùng thu học phí thực hiện từ năm học 2022-2023.</w:t>
      </w:r>
    </w:p>
    <w:p>
      <w:r>
        <w:rPr>
          <w:b/>
          <w:i w:val="0"/>
        </w:rPr>
        <w:t>Điều 4. Tổ chức thực hiện</w:t>
      </w:r>
    </w:p>
    <w:p>
      <w:r>
        <w:rPr>
          <w:b w:val="0"/>
          <w:i w:val="0"/>
        </w:rPr>
        <w:t>1. Giao Ủy ban nhân dân tỉnh căn cứ nhiệm vụ, quyền hạn triển khai thực hiện Nghị quyết theo quy định pháp luật. Tiếp tục theo dõi, lấy ý kiến, đánh giá những tác động, ảnh hưởng tiêu cực của việc quy định mức thu học phí nêu trên; nếu có ảnh hưởng, tác động lớn đến đời sống, thu nhập của người dân, nhất là các gia đình khó khăn, các đối tượng yếu thế...nghiên cứu, báo cáo, đề xuất điều chỉnh, bổ sung cho phù hợp với tình hình thực tế.</w:t>
      </w:r>
    </w:p>
    <w:p>
      <w:r>
        <w:rPr>
          <w:b w:val="0"/>
          <w:i w:val="0"/>
        </w:rPr>
        <w:t>2. Giao Thường trực Hội đồng nhân dân, các Ban Hội đồng nhân dân, Tổ đại biểu Hội đồng nhân dân và đại biểu Hội đồng nhân dân tỉnh giám sát việc thực hiện Nghị quyết.</w:t>
      </w:r>
    </w:p>
    <w:p>
      <w:r>
        <w:rPr>
          <w:b w:val="0"/>
          <w:i w:val="0"/>
        </w:rPr>
        <w:t>Nghị quyết này đã được Hội đồng nhân dân tỉnh Ninh Thuận Khóa XI Kỳ họp thứ 4 thông qua ngày 25 tháng 3 năm 2022 và có hiệu lực thi hành kể từ ngày 05 tháng 4 năm 2022.</w:t>
      </w:r>
    </w:p>
    <w:p>
      <w:r>
        <w:rPr>
          <w:b w:val="0"/>
          <w:i w:val="0"/>
        </w:rPr>
        <w:t>Nghị quyết này thay thế Nghị quyết số 45/2016/NQ-HĐND ngày 23/8/2016 của HĐND tỉnh quy định về mức thu và vùng thu học phí đối với các cơ sở giáo dục thuộc hệ thống giáo dục quốc dân từ năm học 2016-2017 đến năm học 2020-2021; Nghị quyết số 11/NQ/2018/NQ-HĐND ngày 14/12/2018 về Quy định sửa đổi, bổ sung Phụ lục 2 ban hành kèm theo Nghị quyết số 45/2016/NQ-HĐND ngày 23/8/2016 của Hội đồng nhân dân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Phạm Văn Hậu</w:t>
            </w:r>
          </w:p>
        </w:tc>
      </w:tr>
    </w:tbl>
    <w:p>
      <w:r>
        <w:rPr>
          <w:b w:val="0"/>
          <w:i w:val="0"/>
        </w:rPr>
        <w:br/>
      </w:r>
      <w:r>
        <w:rPr>
          <w:b w:val="0"/>
          <w:i w:val="0"/>
        </w:rPr>
        <w:br/>
      </w:r>
      <w:r>
        <w:rPr>
          <w:b/>
          <w:i w:val="0"/>
        </w:rPr>
        <w:t>HỘI ĐỒNG NHÂN DÂN</w:t>
      </w:r>
      <w:r>
        <w:br/>
      </w:r>
      <w:r>
        <w:rPr>
          <w:b/>
          <w:i w:val="0"/>
        </w:rPr>
        <w:br/>
        <w:t xml:space="preserve">        TỈNH NINH THUẬN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HỘI ĐỒNG NHÂN DÂN</w:t>
      </w:r>
      <w:r>
        <w:br/>
      </w:r>
      <w:r>
        <w:rPr>
          <w:b/>
          <w:i w:val="0"/>
        </w:rPr>
        <w:br/>
        <w:t xml:space="preserve">        TỈNH NINH THUẬN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Phụ lục I</w:t>
      </w:r>
    </w:p>
    <w:p>
      <w:pPr>
        <w:jc w:val="center"/>
      </w:pPr>
      <w:r>
        <w:rPr>
          <w:b/>
          <w:i w:val="0"/>
        </w:rPr>
        <w:t>MỨC THU HỌC PHÍ NĂM HỌC 2022/2023 ĐỐI VỚI CƠ SỞ GIÁO DỤC MẦM NON, PHỔ THÔNG HỆ CÔNG LẬP THUỘC HỆ THỐNG GIÁO DỤC QUỐC DÂN TRÊN ĐỊA BÀN TỈNH NINH THUẬN</w:t>
      </w:r>
    </w:p>
    <w:p>
      <w:pPr>
        <w:jc w:val="center"/>
      </w:pPr>
      <w:r>
        <w:rPr>
          <w:b w:val="0"/>
          <w:i/>
        </w:rPr>
        <w:t>(Ban hành kèm theo Nghị quyết số 01/2022/NQ-HĐND ngày 25/3/2022 của Hội đồng nhân dân tỉnh Ninh Thuận)</w:t>
      </w:r>
    </w:p>
    <w:p>
      <w:r>
        <w:rPr>
          <w:b w:val="0"/>
          <w:i w:val="0"/>
        </w:rPr>
        <w:t>Học phí đối với cơ sở giáo dục mầm non, giáo dục phổ thông công lập chưa tự bảo đảm chi thường xuyên.</w:t>
      </w:r>
    </w:p>
    <w:p>
      <w:pPr>
        <w:jc w:val="right"/>
      </w:pPr>
      <w:r>
        <w:rPr>
          <w:b w:val="0"/>
          <w:i w:val="0"/>
        </w:rPr>
        <w:t>Đơn vị tính: Ngàn đồng/hs/tháng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Cấp học</w:t>
            </w:r>
          </w:p>
        </w:tc>
        <w:tc>
          <w:tcPr>
            <w:tcW w:type="dxa" w:w="1728"/>
          </w:tcPr>
          <w:p>
            <w:r>
              <w:rPr>
                <w:b/>
                <w:i w:val="0"/>
              </w:rPr>
              <w:t>Vùng 1</w:t>
            </w:r>
            <w:r>
              <w:rPr>
                <w:b w:val="0"/>
                <w:i w:val="0"/>
              </w:rPr>
              <w:t xml:space="preserve"> </w:t>
            </w:r>
            <w:r>
              <w:rPr>
                <w:b w:val="0"/>
                <w:i/>
              </w:rPr>
              <w:t>(Thành thị)</w:t>
            </w:r>
          </w:p>
        </w:tc>
        <w:tc>
          <w:tcPr>
            <w:tcW w:type="dxa" w:w="1728"/>
          </w:tcPr>
          <w:p>
            <w:r>
              <w:rPr>
                <w:b/>
                <w:i w:val="0"/>
              </w:rPr>
              <w:t>Vùng 2</w:t>
            </w:r>
            <w:r>
              <w:rPr>
                <w:b w:val="0"/>
                <w:i w:val="0"/>
              </w:rPr>
              <w:t xml:space="preserve"> </w:t>
            </w:r>
            <w:r>
              <w:rPr>
                <w:b w:val="0"/>
                <w:i/>
              </w:rPr>
              <w:t>(Nông thôn)</w:t>
            </w:r>
          </w:p>
        </w:tc>
        <w:tc>
          <w:tcPr>
            <w:tcW w:type="dxa" w:w="1728"/>
          </w:tcPr>
          <w:p>
            <w:r>
              <w:rPr>
                <w:b w:val="0"/>
                <w:i w:val="0"/>
              </w:rPr>
              <w:br/>
            </w:r>
            <w:r>
              <w:rPr>
                <w:b/>
                <w:i w:val="0"/>
              </w:rPr>
              <w:t>Vùng 3</w:t>
            </w:r>
            <w:r>
              <w:rPr>
                <w:b w:val="0"/>
                <w:i w:val="0"/>
              </w:rPr>
              <w:br/>
            </w:r>
            <w:r>
              <w:rPr>
                <w:b w:val="0"/>
                <w:i/>
              </w:rPr>
              <w:t>(Đặc biệt khó khăn vùng dân tộc thiêu số và niên núi; Đặc biệt khó khăn vùng bãi ngang ven biên )</w:t>
            </w:r>
          </w:p>
        </w:tc>
        <w:tc>
          <w:tcPr>
            <w:tcW w:type="dxa" w:w="1728"/>
          </w:tcPr>
          <w:p>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Cấp học</w:t>
            </w:r>
          </w:p>
        </w:tc>
        <w:tc>
          <w:tcPr>
            <w:tcW w:type="dxa" w:w="1728"/>
          </w:tcPr>
          <w:p>
            <w:r>
              <w:rPr>
                <w:b/>
                <w:i w:val="0"/>
              </w:rPr>
              <w:t>Vùng 1</w:t>
            </w:r>
            <w:r>
              <w:rPr>
                <w:b w:val="0"/>
                <w:i w:val="0"/>
              </w:rPr>
              <w:t xml:space="preserve"> </w:t>
            </w:r>
            <w:r>
              <w:rPr>
                <w:b w:val="0"/>
                <w:i/>
              </w:rPr>
              <w:t>(Thành thị)</w:t>
            </w:r>
          </w:p>
        </w:tc>
        <w:tc>
          <w:tcPr>
            <w:tcW w:type="dxa" w:w="1728"/>
          </w:tcPr>
          <w:p>
            <w:r>
              <w:rPr>
                <w:b/>
                <w:i w:val="0"/>
              </w:rPr>
              <w:t>Vùng 2</w:t>
            </w:r>
            <w:r>
              <w:rPr>
                <w:b w:val="0"/>
                <w:i w:val="0"/>
              </w:rPr>
              <w:t xml:space="preserve"> </w:t>
            </w:r>
            <w:r>
              <w:rPr>
                <w:b w:val="0"/>
                <w:i/>
              </w:rPr>
              <w:t>(Nông thôn)</w:t>
            </w:r>
          </w:p>
        </w:tc>
        <w:tc>
          <w:tcPr>
            <w:tcW w:type="dxa" w:w="1728"/>
          </w:tcPr>
          <w:p>
            <w:r>
              <w:rPr>
                <w:b w:val="0"/>
                <w:i w:val="0"/>
              </w:rPr>
              <w:br/>
            </w:r>
            <w:r>
              <w:rPr>
                <w:b/>
                <w:i w:val="0"/>
              </w:rPr>
              <w:t>Vùng 3</w:t>
            </w:r>
            <w:r>
              <w:rPr>
                <w:b w:val="0"/>
                <w:i w:val="0"/>
              </w:rPr>
              <w:br/>
            </w:r>
            <w:r>
              <w:rPr>
                <w:b w:val="0"/>
                <w:i/>
              </w:rPr>
              <w:t>(Đặc biệt khó khăn vùng dân tộc thiên sô và niên núi; Đặc biệt khó khăn vùng bãi ngang ven biên )</w:t>
            </w:r>
          </w:p>
        </w:tc>
        <w:tc>
          <w:tcPr>
            <w:tcW w:type="dxa" w:w="1728"/>
          </w:tcPr>
          <w:p>
            <w:r>
              <w:rPr>
                <w:b/>
                <w:i w:val="0"/>
              </w:rPr>
              <w:t>Ghi chú</w:t>
            </w:r>
          </w:p>
        </w:tc>
      </w:tr>
    </w:tbl>
    <w:p>
      <w:r>
        <w:rPr>
          <w:b w:val="0"/>
          <w:i w:val="0"/>
        </w:rPr>
        <w:t>- Mức thu học phí trong trường hợp áp dụng hình thức học trực tuyến (online); Mức thu học phí theo hình thức học trực tuyến (online) bằng 75% so với mức thu tương ứng trên đây. Mức thu học phí được làm tròn đến đơn vị nghìn đồng.</w:t>
      </w:r>
    </w:p>
    <w:p>
      <w:r>
        <w:rPr>
          <w:b w:val="0"/>
          <w:i w:val="0"/>
        </w:rPr>
        <w:t>- Mức học phí đối với giáo dục tiểu học công lập quy định tại Phụ lục này dùng để làm căn cứ đế tính mức hỗ trợ tiền đóng học phí cho học sinh tiểu học tư thục ở các địa bàn chưa đủ trường tiểu học công lập và các đối tượng học sinh tiểu học tư thục thuộc đối tượng được hưởng chính sách miễn giảm học phí theo quy định.</w:t>
      </w:r>
    </w:p>
    <w:p>
      <w:r>
        <w:rPr>
          <w:b w:val="0"/>
          <w:i w:val="0"/>
        </w:rPr>
        <w:t>2. Mức học phí đối với cơ sở giáo dục mầm non, giáo dục phô thông công lập tự bảo đảm chi thường xuyên: Bằng 1,5 lần mức học phí đối với cơ sở giáo dục mầm non, giáo dục phổ thông công lập chưa tự bảo đảm chi thường xuyên.</w:t>
      </w:r>
    </w:p>
    <w:p>
      <w:r>
        <w:rPr>
          <w:b w:val="0"/>
          <w:i w:val="0"/>
        </w:rPr>
        <w:t>3. Mức học phí đối với cơ sở giáo dục mầm non, giáo dục phố thông công lập tự bảo đảm chi thường xuyên và chi đầu tư: Bằng 2,0 lần mức học phí đối với cơ sở giáo dục mầm non, giáo dục phổ thông công lập chưa tự bảo đảm chi thường xuyên.</w:t>
      </w:r>
    </w:p>
    <w:p>
      <w:r>
        <w:rPr>
          <w:b w:val="0"/>
          <w:i w:val="0"/>
        </w:rPr>
        <w:t>4. Cơ sở giáo dục mầm non, giáo dục phô thông công lập tự bảo đảm chi thường xuyên hoặc tự bảo đảm chi thường xuyên và chi đầu tư đạt mức kiểm định chất lượng cơ sở giáo dục theo tiêu chuẩn do Bộ Giáo dục và Đào tạo quy định thì được tự xác định mức thu học phí trên cơ sở định mức kinh tế - kỹ thuật, định mức chi phí do cơ sở giáo dục ban hành; trình ủy ban nhân dân tỉnh đê đê nghị Hội đồng nhân dân tỉnh xem xét phê duyệt mức thu học phí./.</w:t>
      </w:r>
    </w:p>
    <w:p>
      <w:r>
        <w:rPr>
          <w:b w:val="0"/>
          <w:i w:val="0"/>
        </w:rPr>
        <w:br/>
      </w:r>
      <w:r>
        <w:rPr>
          <w:b w:val="0"/>
          <w:i w:val="0"/>
        </w:rPr>
        <w:br/>
      </w:r>
      <w:r>
        <w:rPr>
          <w:b/>
          <w:i w:val="0"/>
        </w:rPr>
        <w:t>HỘI ĐỒNG NHÂN DÂN</w:t>
      </w:r>
      <w:r>
        <w:br/>
      </w:r>
      <w:r>
        <w:rPr>
          <w:b/>
          <w:i w:val="0"/>
        </w:rPr>
        <w:br/>
        <w:t xml:space="preserve">        TỈNH NINH THUẬN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br/>
      </w:r>
    </w:p>
    <w:p>
      <w:r>
        <w:rPr>
          <w:b w:val="0"/>
          <w:i w:val="0"/>
        </w:rPr>
        <w:br/>
      </w:r>
      <w:r>
        <w:rPr>
          <w:b/>
          <w:i w:val="0"/>
        </w:rPr>
        <w:t>HỘI ĐỒNG NHÂN DÂN</w:t>
      </w:r>
      <w:r>
        <w:br/>
      </w:r>
      <w:r>
        <w:rPr>
          <w:b/>
          <w:i w:val="0"/>
        </w:rPr>
        <w:br/>
        <w:t xml:space="preserve">        TỈNH NINH THUẬN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p>
    <w:p>
      <w:pPr>
        <w:jc w:val="center"/>
      </w:pPr>
      <w:r>
        <w:rPr>
          <w:b/>
          <w:i w:val="0"/>
        </w:rPr>
        <w:t>Phụ lục II</w:t>
      </w:r>
    </w:p>
    <w:p>
      <w:pPr>
        <w:jc w:val="center"/>
      </w:pPr>
      <w:r>
        <w:rPr>
          <w:b/>
          <w:i w:val="0"/>
        </w:rPr>
        <w:t>VÙNG THU HỌC PHÍ CÁC CẤP  HỌC TRÊN ĐỊA BÀN TỈNH NINH THUẬN</w:t>
      </w:r>
    </w:p>
    <w:p>
      <w:pPr>
        <w:jc w:val="center"/>
      </w:pPr>
      <w:r>
        <w:rPr>
          <w:b w:val="0"/>
          <w:i/>
        </w:rPr>
        <w:t>(Ban hành kèm theo Nghị quyết số 01/2022/NQ-HĐND ngày 25/3/2022 của Hội đồng nhân dân tỉnh Ninh Thuận)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r>
              <w:rPr>
                <w:b w:val="0"/>
                <w:i w:val="0"/>
              </w:rPr>
              <w:br/>
            </w:r>
          </w:p>
        </w:tc>
        <w:tc>
          <w:tcPr>
            <w:tcW w:type="dxa" w:w="2880"/>
          </w:tcPr>
          <w:p>
            <w:r>
              <w:rPr>
                <w:b/>
                <w:i w:val="0"/>
              </w:rPr>
              <w:t>Tên xã, phường</w:t>
            </w:r>
          </w:p>
        </w:tc>
        <w:tc>
          <w:tcPr>
            <w:tcW w:type="dxa" w:w="2880"/>
          </w:tcPr>
          <w:p>
            <w:r>
              <w:rPr>
                <w:b/>
                <w:i w:val="0"/>
              </w:rPr>
              <w:t>Các thị trấn, xã, phưòng, thôn, khu phố trên địa bàn tỉnh Ninh Thuận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Tên xã, phường</w:t>
            </w:r>
          </w:p>
        </w:tc>
        <w:tc>
          <w:tcPr>
            <w:tcW w:type="dxa" w:w="2880"/>
          </w:tcPr>
          <w:p>
            <w:r>
              <w:rPr>
                <w:b/>
                <w:i w:val="0"/>
              </w:rPr>
              <w:t>Các thị trấn, xã, phường, thôn, khu phố trên địa bàn tính Ninh Thuận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Tên xã, phường</w:t>
            </w:r>
          </w:p>
        </w:tc>
        <w:tc>
          <w:tcPr>
            <w:tcW w:type="dxa" w:w="2880"/>
          </w:tcPr>
          <w:p>
            <w:r>
              <w:rPr>
                <w:b/>
                <w:i w:val="0"/>
              </w:rPr>
              <w:t>Các thị trấn, xã, phường, thôn, khu phố trên địa bàn tỉnh Ninh Thuận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Tên xã, phuòĩig</w:t>
            </w:r>
          </w:p>
        </w:tc>
        <w:tc>
          <w:tcPr>
            <w:tcW w:type="dxa" w:w="2880"/>
          </w:tcPr>
          <w:p>
            <w:r>
              <w:rPr>
                <w:b/>
                <w:i w:val="0"/>
              </w:rPr>
              <w:t>Các thị trấn, xã, phường, thôn, khu phố trên địa bàn tỉnh Ninh Thuận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Tên xã, phường</w:t>
            </w:r>
          </w:p>
        </w:tc>
        <w:tc>
          <w:tcPr>
            <w:tcW w:type="dxa" w:w="2880"/>
          </w:tcPr>
          <w:p>
            <w:r>
              <w:rPr>
                <w:b/>
                <w:i w:val="0"/>
              </w:rPr>
              <w:t>Các thị trấn, xã, phường, thôn, khu phố trên địa bàn tỉnh Ninh Thuận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Tên xã, phường</w:t>
            </w:r>
          </w:p>
        </w:tc>
        <w:tc>
          <w:tcPr>
            <w:tcW w:type="dxa" w:w="2880"/>
          </w:tcPr>
          <w:p>
            <w:r>
              <w:rPr>
                <w:b/>
                <w:i w:val="0"/>
              </w:rPr>
              <w:t>Các thị trấn, xã, phường, thôn, khu phố trên địa bàn tỉnh Ninh Thuận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Tên xà, phường</w:t>
            </w:r>
          </w:p>
        </w:tc>
        <w:tc>
          <w:tcPr>
            <w:tcW w:type="dxa" w:w="2880"/>
          </w:tcPr>
          <w:p>
            <w:r>
              <w:rPr>
                <w:b/>
                <w:i w:val="0"/>
              </w:rPr>
              <w:t>Các thị trấn, xã, phường, thôn, khu phố trên địa bàn tỉnh Ninh Thuận</w:t>
            </w:r>
          </w:p>
        </w:tc>
      </w:tr>
    </w:tbl>
    <w:p>
      <w:r>
        <w:rPr>
          <w:b w:val="0"/>
          <w:i w:val="0"/>
        </w:rPr>
        <w:t>- Các xã đặc biệt khó khăn vùng bãi ngang ven biến và hải đảo khi được cấp có thẩm quyền công nhận lên phường, thị trấn hoặc đạt chuẩn nông thôn mới, thì thôi hưởng chính sách áp dụng đối với xã đặc biệt khó khăn vùng bãi ngang ven biến và hải đảo kể từ ngày Quyết định của cấp thẩm quyền công nhận có hiệu lực (sẽ chuyến về áp dụng thành vùng 1 hoặc vùng 2 tương ứng tại các địa bàn).</w:t>
      </w:r>
    </w:p>
    <w:p>
      <w:r>
        <w:rPr>
          <w:b w:val="0"/>
          <w:i w:val="0"/>
        </w:rPr>
        <w:t xml:space="preserve">- Các xã khu vực III nếu được công nhận đạt chuẩn nông thôn mới sẽ thôi X hưởng các chính sách áp dụng đối với xã khu vực III kế từ ngày Quyết định của cấp có thẩm quyền công nhận xã đạt chuẩn nông thôn mới có hiệu lực (sẽ chuyển về áp dụng thành vùng 1 hoặc vùng 2 tương ứng tại các địa bàn). </w:t>
      </w:r>
    </w:p>
    <w:p>
      <w:r>
        <w:rPr>
          <w:b w:val="0"/>
          <w:i w:val="0"/>
        </w:rPr>
        <w:t>- Trong trường hợp có văn bản mới thay thế văn bản này hoặc các cơ quan có thẩm quyền của Nhà nước có văn bản thay đổi hoặc điều chỉnh thôn đặc biệt khó khăn, khu vực III thuộc vùng dân tộc thiểu số và miền núi; các xã đặc biệt khó khăn vùng bãi ngang ven biển hoặc một số địa bàn chuyển thành khu vực đô thị thì các cơ quan, địa phương, đơn vị chủ động điều chỉnh vùng 3 thành vùng 1, vùng 2 tương ứng hoặc vùng 1, vùng 2 sang vùng 2, vùng 3 tương ứng đề thực hiện theo văn bản mới đó./.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