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01/2022/QĐ-UBND Ban hành Quy định chế độ báo cáo định kỳ trong lĩnh vực Tài chính doanh nghiệp thuộc phạm vi quản lý của Ủy ban nhân dân tỉnh Nam Định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br/>
              <w:t xml:space="preserve">         TỈNH NAM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QUYẾT ĐỊNH</w:t>
      </w:r>
    </w:p>
    <w:p>
      <w:pPr>
        <w:jc w:val="center"/>
      </w:pPr>
      <w:r>
        <w:rPr>
          <w:b/>
          <w:i w:val="0"/>
        </w:rPr>
        <w:t>Ban hành Quy định chế độ báo cáo định kỳ trong lĩnh vực Tài chính doanh nghiệp thuộc phạm vi quản lý của Ủy ban nhân dân tỉnh Nam Định</w:t>
      </w:r>
    </w:p>
    <w:p>
      <w:pPr>
        <w:jc w:val="center"/>
      </w:pPr>
      <w:r>
        <w:rPr>
          <w:b/>
          <w:i w:val="0"/>
        </w:rPr>
        <w:t>ỦY BAN NHÂN DÂN TỈNH NAM ĐỊNH</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Nghị định số 09/2019/NĐ-CP ngày 24/01/2019 của Chính phủ quy định về chế độ báo cáo của cơ quan hành chính nhà nước;</w:t>
      </w:r>
    </w:p>
    <w:p>
      <w:r>
        <w:rPr>
          <w:b w:val="0"/>
          <w:i/>
        </w:rPr>
        <w:t>Căn cứ Nghị định số 87/2015/NĐ-CP ngày 06/10/2015 của Chính phủ về giám sát đầu tư vốn nhà nước vào doanh nghiệp; giám sát tài chính, đánh giá hiệu quả hoạt động và công khai thông tin của doanh nghiệp nhà nước và doanh nghiệp có vốn nhà nước;</w:t>
      </w:r>
    </w:p>
    <w:p>
      <w:r>
        <w:rPr>
          <w:b w:val="0"/>
          <w:i/>
        </w:rPr>
        <w:t>Căn cứ Nghị định số 96/2018/NĐ-CP ngày 30/6/2018 của Chính phủ quy định chi tiết về giá sản phẩm, dịch vụ thủy lợi và hỗ trợ tiền sử dụng sản phẩm, dịch vụ công ích thủy lợi;</w:t>
      </w:r>
    </w:p>
    <w:p>
      <w:r>
        <w:rPr>
          <w:b w:val="0"/>
          <w:i/>
        </w:rPr>
        <w:t>Căn cứ Nghị định số 140/2020/NĐ-CP ngày 30/11/2020 của Chính phủ sửa đổi, bổ sung một số điều của Nghị định số 126/2017/NĐ-CP ngày 16/11/2017 của Chính phủ về chuyển doanh nghiệp nhà nước và công ty TNHH MTV do doanh nghiệp nhà nước đầu tư 100% vốn điều lệ thành công ty cổ phần; Nghị định số 91/2015/NĐ-CP ngày 13/10/2015 của Chính phủ về đầu tư vốn nhà nước vào doanh nghiệp và quản lý, sử dụng vốn, tài sản tại doanh nghiệp và Nghị định số 32/2018/NĐ-CP ngày 08/3/2018 của Chính phủ sửa đổi, bổ sung một số điều của Nghị định số 91/2015/NĐ-CP;</w:t>
      </w:r>
    </w:p>
    <w:p>
      <w:r>
        <w:rPr>
          <w:b w:val="0"/>
          <w:i/>
        </w:rPr>
        <w:t>Căn cứ Thông tư số 36/2021/TT-BTC ngày 26/5/2021 của Bộ Tài chính về việc hướng dẫn một số nội dung về đầu tư vốn nhà nước vào doanh nghiệp và quản lý, sử dụng vốn, tài sản tại doanh nghiệp quy định tại Nghị định số 91/2015/NĐ-CP ngày 13/10/2015; Nghị định số 32/2018/NĐ-CP ngày 08/3/2018; Nghị định số 121/2020/NĐ-CP ngày 09/10/2020 và Nghị định số 140/2020/NĐ-CP ngày 30/11/2020 của Chính phủ;</w:t>
      </w:r>
    </w:p>
    <w:p>
      <w:r>
        <w:rPr>
          <w:b w:val="0"/>
          <w:i/>
        </w:rPr>
        <w:t>Theo đề nghị của Sở Tài chính tại Tờ trình số 02/TTr-STC ngày 04/01/2022 về việc ban hành Quy định chế độ báo cáo định kỳ trong lĩnh vực</w:t>
      </w:r>
    </w:p>
    <w:p>
      <w:r>
        <w:rPr>
          <w:b w:val="0"/>
          <w:i/>
        </w:rPr>
        <w:t>Tài chính doanh nghiệp thuộc phạm vi quản lý của Ủy ban nhân dân tỉnh Nam Định, Báo cáo thẩm định số 1606/BC-STP ngày 30/12/2021 của Sở Tư pháp.</w:t>
      </w:r>
    </w:p>
    <w:p>
      <w:pPr>
        <w:jc w:val="center"/>
      </w:pPr>
      <w:r>
        <w:rPr>
          <w:b/>
          <w:i w:val="0"/>
        </w:rPr>
        <w:t>QUYẾT ĐỊNH:</w:t>
      </w:r>
    </w:p>
    <w:p>
      <w:r>
        <w:rPr>
          <w:b/>
          <w:i w:val="0"/>
        </w:rPr>
        <w:t xml:space="preserve">Điều 1. </w:t>
      </w:r>
      <w:r>
        <w:rPr>
          <w:b w:val="0"/>
          <w:i w:val="0"/>
        </w:rPr>
        <w:t>Ban hành kèm theo Quyết định này Quy định chế độ báo cáo định kỳ trong lĩnh vực Tài chính doanh nghiệp thuộc phạm vi quản lý của Ủy ban nhân dân tỉnh Nam Định.</w:t>
      </w:r>
    </w:p>
    <w:p>
      <w:r>
        <w:rPr>
          <w:b/>
          <w:i w:val="0"/>
        </w:rPr>
        <w:t>Điều 2. Hiệu lực thi hành</w:t>
      </w:r>
    </w:p>
    <w:p>
      <w:r>
        <w:rPr>
          <w:b w:val="0"/>
          <w:i w:val="0"/>
        </w:rPr>
        <w:t>Quyết định này có hiệu lực thi hành kể từ ngày 02/02/2022.</w:t>
      </w:r>
    </w:p>
    <w:p>
      <w:r>
        <w:rPr>
          <w:b/>
          <w:i w:val="0"/>
        </w:rPr>
        <w:t>Điều 3. Trách nhiệm thi hành</w:t>
      </w:r>
    </w:p>
    <w:p>
      <w:r>
        <w:rPr>
          <w:b w:val="0"/>
          <w:i w:val="0"/>
        </w:rPr>
        <w:t>Chánh Văn phòng Ủy ban nhân dân tỉnh, Thủ trưởng các cơ quan: Sở Kế hoạch và Đầu tư, Sở Tài chính, Sở Thông tin và Truyền thông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Văn phòng Chính phủ;</w:t>
            </w:r>
            <w:r>
              <w:br/>
            </w:r>
            <w:r>
              <w:rPr>
                <w:b w:val="0"/>
                <w:i w:val="0"/>
              </w:rPr>
              <w:t xml:space="preserve">- Bộ Tài chính;                                                                                    </w:t>
            </w:r>
            <w:r>
              <w:br/>
            </w:r>
            <w:r>
              <w:rPr>
                <w:b w:val="0"/>
                <w:i w:val="0"/>
              </w:rPr>
              <w:t xml:space="preserve">- Cục Kiểm tra văn bản QPPL-Bộ Tư pháp;                                       </w:t>
            </w:r>
            <w:r>
              <w:br/>
            </w:r>
            <w:r>
              <w:rPr>
                <w:b w:val="0"/>
                <w:i w:val="0"/>
              </w:rPr>
              <w:t xml:space="preserve">- Thường trực Tỉnh ủy;                                                                       </w:t>
            </w:r>
            <w:r>
              <w:br/>
            </w:r>
            <w:r>
              <w:rPr>
                <w:b w:val="0"/>
                <w:i w:val="0"/>
              </w:rPr>
              <w:t>- Thường trực HĐND tỉnh;</w:t>
            </w:r>
            <w:r>
              <w:rPr>
                <w:b w:val="0"/>
                <w:i w:val="0"/>
              </w:rPr>
              <w:br/>
            </w:r>
            <w:r>
              <w:rPr>
                <w:b w:val="0"/>
                <w:i w:val="0"/>
              </w:rPr>
              <w:t xml:space="preserve">- Đoàn đại biểu Quốc hội tỉnh;                                                                 </w:t>
            </w:r>
            <w:r>
              <w:br/>
            </w:r>
            <w:r>
              <w:rPr>
                <w:b w:val="0"/>
                <w:i w:val="0"/>
              </w:rPr>
              <w:t>- Lãnh đạo UBND tỉnh;</w:t>
            </w:r>
            <w:r>
              <w:br/>
            </w:r>
            <w:r>
              <w:rPr>
                <w:b w:val="0"/>
                <w:i w:val="0"/>
              </w:rPr>
              <w:t>- Như Điều 3;</w:t>
            </w:r>
            <w:r>
              <w:br/>
            </w:r>
            <w:r>
              <w:rPr>
                <w:b w:val="0"/>
                <w:i w:val="0"/>
              </w:rPr>
              <w:t>- Công báo tỉnh;</w:t>
            </w:r>
            <w:r>
              <w:br/>
            </w:r>
            <w:r>
              <w:rPr>
                <w:b w:val="0"/>
                <w:i w:val="0"/>
              </w:rPr>
              <w:t>- Cổng TTĐT tỉnh, Trang TTĐT VP UBND tỉnh;</w:t>
            </w:r>
            <w:r>
              <w:br/>
            </w:r>
            <w:r>
              <w:rPr>
                <w:b w:val="0"/>
                <w:i w:val="0"/>
              </w:rPr>
              <w:t>- Lưu: VP1, VP3, VP6.</w:t>
            </w:r>
          </w:p>
        </w:tc>
        <w:tc>
          <w:tcPr>
            <w:tcW w:type="dxa" w:w="4320"/>
          </w:tcPr>
          <w:p>
            <w:r>
              <w:rPr>
                <w:b w:val="0"/>
                <w:i w:val="0"/>
              </w:rPr>
              <w:br/>
            </w:r>
            <w:r>
              <w:rPr>
                <w:b/>
                <w:i w:val="0"/>
              </w:rPr>
              <w:t>TM. ỦY BAN NHÂN DÂN</w:t>
            </w:r>
            <w:r>
              <w:rPr>
                <w:b w:val="0"/>
                <w:i w:val="0"/>
              </w:rPr>
              <w:br/>
            </w:r>
            <w:r>
              <w:rPr>
                <w:b/>
                <w:i w:val="0"/>
              </w:rPr>
              <w:t xml:space="preserve"> KT. CHỦ TỊCH</w:t>
            </w:r>
            <w:r>
              <w:rPr>
                <w:b w:val="0"/>
                <w:i w:val="0"/>
              </w:rPr>
              <w:br/>
            </w:r>
            <w:r>
              <w:rPr>
                <w:b/>
                <w:i w:val="0"/>
              </w:rPr>
              <w:t>PHÓ CHỦ TỊCH</w:t>
            </w:r>
            <w:r>
              <w:rPr>
                <w:b w:val="0"/>
                <w:i w:val="0"/>
              </w:rPr>
              <w:br/>
            </w:r>
            <w:r>
              <w:rPr>
                <w:b/>
                <w:i/>
              </w:rPr>
              <w:t>(Đã ký)</w:t>
            </w:r>
            <w:r>
              <w:rPr>
                <w:b w:val="0"/>
                <w:i w:val="0"/>
              </w:rPr>
              <w:br/>
            </w:r>
            <w:r>
              <w:rPr>
                <w:b/>
                <w:i/>
              </w:rPr>
              <w:t>Hà Lan Anh</w:t>
            </w:r>
            <w:r>
              <w:br/>
            </w:r>
            <w:r>
              <w:br/>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