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01/CT-UBND Về việc tăng cường thực hiện các giải pháp thúc đẩy sản xuất kinh doanh, bình ổn thị trường và phục vụ Tết Nguyên đán Canh Dần năm 2010</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TỈNH THANH HOÁ</w:t>
            </w:r>
          </w:p>
        </w:tc>
        <w:tc>
          <w:tcPr>
            <w:tcW w:type="dxa" w:w="4320"/>
          </w:tcPr>
          <w:p>
            <w:r>
              <w:rPr>
                <w:b/>
                <w:i w:val="0"/>
              </w:rPr>
              <w:t>CỘNG HOÀ XÃ HỘI CHỦ NGHĨA VIỆT NAM</w:t>
            </w:r>
            <w:r>
              <w:br/>
            </w:r>
            <w:r>
              <w:rPr>
                <w:b/>
                <w:i w:val="0"/>
              </w:rPr>
              <w:t>Độc lập - Tự do - Hạnh phúc</w:t>
            </w:r>
          </w:p>
        </w:tc>
      </w:tr>
    </w:tbl>
    <w:p>
      <w:r>
        <w:rPr>
          <w:b/>
          <w:i w:val="0"/>
        </w:rPr>
        <w:t>CHỈ THỊ</w:t>
      </w:r>
    </w:p>
    <w:p>
      <w:r>
        <w:rPr>
          <w:b/>
          <w:i w:val="0"/>
        </w:rPr>
        <w:t xml:space="preserve">Về việc tăng cường thực hiện các giải pháp thúc đẩy sản </w:t>
      </w:r>
    </w:p>
    <w:p>
      <w:r>
        <w:rPr>
          <w:b/>
          <w:i w:val="0"/>
        </w:rPr>
        <w:t xml:space="preserve">xuất kinh doanh, bình ổn thị trường và phục vụ  </w:t>
      </w:r>
    </w:p>
    <w:p>
      <w:r>
        <w:rPr>
          <w:b/>
          <w:i w:val="0"/>
        </w:rPr>
        <w:t>Tết Nguyên đán Canh Dần năm 2010</w:t>
      </w:r>
    </w:p>
    <w:p>
      <w:r>
        <w:rPr>
          <w:b w:val="0"/>
          <w:i w:val="0"/>
        </w:rPr>
        <w:t>__________________</w:t>
      </w:r>
    </w:p>
    <w:p>
      <w:r>
        <w:rPr>
          <w:b w:val="0"/>
          <w:i w:val="0"/>
        </w:rPr>
        <w:t xml:space="preserve">Mặc dù gặp nhiều khó khăn do ảnh hưởng của suy giảm kinh tế thế giới và trong nước, song, nhờ triển khai thực hiện đồng bộ các giải pháp, chính sách kích cầu và các chính sách an sinh xã hội của Chính phủ, cùng với sự nỗ lực cố gắng của các cấp uỷ Đảng, chính quyền, đoàn thể, lực lượng vũ trang, các thành phần kinh tế và các tầng lớp nhân dân, tình hình kinh tế - xã hội của tỉnh ta vẫn giữ được ổn định và tiếp tục phát triển, cơ bản hoàn thành các mục tiêu chủ yếu đề ra. Tuy nhiên, vẫn còn một bộ phận nhân dân, nhất là ở vùng sâu, vùng xa đời sống khó khăn, trong dịp Tết, tình hình thị trường có thể diễn biến phức tạp; nhu cầu tiêu dùng của nhân dân  tăng cao, có nguy cơ làm mất cân đối cung - cầu, đẩy giá cả hàng hoá tăng đột biến, ảnh hưởng trực tiếp đến đời sống của nhân dân, nhất là người nghèo. </w:t>
      </w:r>
    </w:p>
    <w:p>
      <w:r>
        <w:rPr>
          <w:b w:val="0"/>
          <w:i w:val="0"/>
        </w:rPr>
        <w:t>Để thúc đẩy sản xuất kinh doanh, bình ổn thị trường, chủ động ngăn chặn lạm phát cao trở lại và phục vụ tốt nhân dân đón Tết Canh Dần năm 2010, Chủ tịch UBND tỉnh yêu cầu:</w:t>
      </w:r>
    </w:p>
    <w:p>
      <w:r>
        <w:rPr>
          <w:b w:val="0"/>
          <w:i w:val="0"/>
        </w:rPr>
        <w:t>1. Các sở, ban, ngành, UBND các huyện, thị xã, thành phố khẩn trương triển khai kế hoạch năm 2010, phát động phong trào thi đua yêu nước sâu rộng, thiết thực trong cán bộ, đảng viên, nhân dân, tạo khí thế sôi nổi, đẩy mạnh sản xuất, kinh doanh trên tất cả các lĩnh vực ngay từ những ngày đầu năm, lập thành tích cao nhất mừng Đảng, mừng xuân và các ngày kỷ niệm lớn trong năm 2010.</w:t>
      </w:r>
    </w:p>
    <w:p>
      <w:r>
        <w:rPr>
          <w:b w:val="0"/>
          <w:i w:val="0"/>
        </w:rPr>
        <w:t>2. Sở Nông nghiệp và PTNT, UBND cấp huyện chỉ đạo các đơn vị thuỷ nông đảm bảo đủ nước tưới; định hướng, kiểm tra các đơn vị cung ứng giống, vật tư nông nghiệp, chuẩn bị đủ nguồn phân bón, giống cây trồng, vật nuôi với chất lượng cao, đáp ứng nhu cầu sản xuất nông nghiệp; tăng cường kiểm tra, kiểm soát hoạt động kinh doanh giết mổ động vật; chủ động triển khai thực hiện các biện pháp phòng, chống hạn, chống cháy rừng, chống rét và dịch bệnh đối với cây trồng, vật nuôi, đặc biệt là bệnh vàng lùn, lùn soắn lá trên lúa.</w:t>
      </w:r>
    </w:p>
    <w:p>
      <w:r>
        <w:rPr>
          <w:b w:val="0"/>
          <w:i w:val="0"/>
        </w:rPr>
        <w:t>3. Ngân hàng Nhà nước - Chi nhánh tỉnh Thanh Hóa chỉ đạo các ngân hàng thương mại trên địa bàn tỉnh bảo đảm nguồn vốn, tạo thuận lợi cho các tổ chức và cá nhân được vay vốn để sản xuất kinh doanh; tiếp tục thực hiện có kết quả việc giải ngân nguồn vốn hỗ trợ lãi suất trung và dài hạn theo Quyết định số 443/QĐ-TTg; nguồn vốn hỗ trợ lãi suất mua máy móc, thiết bị, vật tư sản xuất nông nghiệp và vật liệu xây dựng nhà ở khu vực nông thôn theo Quyết định số 2213/QĐ-TTg của Thủ tướng Chính phủ.</w:t>
      </w:r>
    </w:p>
    <w:p>
      <w:r>
        <w:rPr>
          <w:b w:val="0"/>
          <w:i w:val="0"/>
        </w:rPr>
        <w:t>4. Sở Công thương chủ động, phối hợp với các sở, ngành có liên quan, UBND cấp huyện, các doanh nghiệp theo dõi sát diễn biến cung, cầu hàng hoá trên thị trường, nhất là các mặt hàng thiết yếu để kịp thời có biện pháp tháo gỡ khó khăn, bảo đảm sản xuất, lưu thông hàng hoá, chú trọng đến các vùng sâu, vùng xa, vùng bị thiên tai, vùng miền núi, dân tộc, đáp ứng nhu cầu tiêu dùng của nhân dân trong dịp Tết, tuyệt đối không để xảy ra tình trạng khan hiếm hàng hoá, gây sốt giá trước, trong và sau Tết; tiếp tục vận động nhân dân thực hiện chủ trương về "Người Việt ưu tiên dùng hàng Việt".</w:t>
      </w:r>
    </w:p>
    <w:p>
      <w:r>
        <w:rPr>
          <w:b w:val="0"/>
          <w:i w:val="0"/>
        </w:rPr>
        <w:t>5. Chi cục Quản lý thị trường phối hợp với sở Tài chính, sở Khoa học và Công nghệ, sở Y tế, Cục thuế, Hải quan, Công an, Bộ đội Biên phòng tỉnh, các ngành liên quan và các địa phương tăng cường công tác quản lý thị trường, quản lý nhà nước về giá, chống buôn lậu, gian lận thương mại; thường xuyên kiểm tra, kiểm soát, xử lý nghiêm đối với các tổ chức, cá nhân sản xuất, kinh doanh hàng cấm, hàng giả, hàng kém chất lượng, không đảm bảo vệ sinh an toàn thực phẩm, hàng trốn lậu thuế, gian lận thương mại, gian lận trong đo lường, đầu cơ, găm hàng, tăng giá hàng hoá, cước vận tải, phí dịch vụ  bất hợp lý, gây thiệt hại cho người tiêu dùng.</w:t>
      </w:r>
    </w:p>
    <w:p>
      <w:r>
        <w:rPr>
          <w:b w:val="0"/>
          <w:i w:val="0"/>
        </w:rPr>
        <w:t>6. Sở Lao động Thương binh và xã hội, chính quyền địa phương tiến hành kiểm tra, nắm chắc tình hình đời sống của nhân dân, nhất là vùng miền núi, bãi ngang, vùng sâu, vùng xa, vùng bị thiên tai, dịch bệnh để có phương án cứu trợ kịp thời, không để xảy ra tình trạng người dân thiếu đói trong dịp Tết; phối hợp với Liên đoàn Lao động tỉnh theo dõi, kiểm tra việc thực hiện chế độ tiền lương, tiền công, tiền thưởng cho công nhân trong các doanh nghiệp, các cơ sở sản xuất kinh doanh, đảm bảo cho người lao động có điều kiện vui xuân, đón tết.</w:t>
      </w:r>
    </w:p>
    <w:p>
      <w:r>
        <w:rPr>
          <w:b w:val="0"/>
          <w:i w:val="0"/>
        </w:rPr>
        <w:t>Sở Văn hóa Thể thao và Du lịch có kế hoạch tổ chức và hướng dẫn các ngành, địa phương tổ chức các hoạt động văn hóa, văn nghệ, thể dục - thể thao " Mừng Đảng, mừng xuân" đảm bảo lành mạnh, văn minh, đáp ứng nhu cầu vui chơi, giải trí của nhân dân trong dịp Tết. Sở Y tế, UBND cấp huyện tăng cường công tác phòng, chống dịch bệnh; chỉ đạo các bệnh viện thực hiện tốt chế độ thường trực, cấp cứu bệnh nhân.</w:t>
      </w:r>
    </w:p>
    <w:p>
      <w:r>
        <w:rPr>
          <w:b w:val="0"/>
          <w:i w:val="0"/>
        </w:rPr>
        <w:t>Các cơ quan báo, đài chuẩn bị tốt các điều kiện kỹ thuật, nhân lực để cung cấp thông tin phục vụ nhân dân; xây dựng nội dung chương trình phục vụ Tết đảm bảo phong phú, hấp dẫn, phù hợp với tập quán, bản sắc văn hoá của các dân tộc trong tỉnh; thực hiện tốt công tác thông tin, tuyên truyền để nhân dân hiểu rõ, đồng thuận và tích cực tham gia thực hiện các mục tiêu, giải pháp phát triển kinh tế - xã hội năm 2010, nhất là đối với các giải pháp thúc đẩy sản xuất, kinh doanh, bảo đảm bình ổn giá cả thị trường; vận động nhân dân không vận chuyển, buôn bán, tàng trữ, đốt pháo, đảm bảo an toàn giao thông, an toàn vệ sinh thực phẩm; tăng cường đưa tin, tuyên truyền về truyền thống, văn hoá dân tộc, về thực hành tiết kiệm, chống tham nhũng, lãng phí trong dịp Tết; phê phán tệ cờ bạc, số đề, mê tín, dị đoan, các hủ tục lạc hậu.</w:t>
      </w:r>
    </w:p>
    <w:p>
      <w:r>
        <w:rPr>
          <w:b w:val="0"/>
          <w:i w:val="0"/>
        </w:rPr>
        <w:t>7. Sở Giao thông Vận tải chủ động phối hợp với các ngành, các địa phương tăng cường kiểm tra các phương tiện vận chuyển hành khách, bảo đảm tiêu chuẩn an toàn kỹ thuật, kiên quyết xử lý nghiêm đối với các chủ phương tiện không bảo đảm an toàn; chỉ đạo các doanh nghiệp kinh doanh vận tải chuẩn bị lực lượng, phương tiện vận chuyển, đáp ứng nhu cầu đi lại của nhân dân trong dịp Tết; bảo đảm tốt an ninh, trật tự tại các bến xe, nhà ga, không để xảy ra tình trạng tranh dành khách, ép giá vé trong những ngày cao điểm; phối hợp với Công an tỉnh thực hiện tốt các biện pháp bảo đảm an toàn giao thông để giảm đến mức thấp nhất số vụ, số người chết và bị thương do tai nạn giao thông.</w:t>
      </w:r>
    </w:p>
    <w:p>
      <w:r>
        <w:rPr>
          <w:b w:val="0"/>
          <w:i w:val="0"/>
        </w:rPr>
        <w:t>8. Công an tỉnh, UBND cấp huyện chỉ đạo thực hiện nghiêm túc Nghị định số</w:t>
      </w:r>
      <w:r>
        <w:rPr>
          <w:b w:val="0"/>
          <w:i w:val="0"/>
        </w:rPr>
        <w:t xml:space="preserve"> </w:t>
      </w:r>
      <w:r>
        <w:rPr>
          <w:b w:val="0"/>
          <w:i w:val="0"/>
        </w:rPr>
        <w:t>36/2009/NĐ-CP</w:t>
      </w:r>
      <w:r>
        <w:rPr>
          <w:b w:val="0"/>
          <w:i w:val="0"/>
        </w:rPr>
        <w:t xml:space="preserve"> </w:t>
      </w:r>
      <w:r>
        <w:rPr>
          <w:b w:val="0"/>
          <w:i w:val="0"/>
        </w:rPr>
        <w:t>của Chính phủ về quản lý, sử dụng pháo; xây dựng phương án cụ thể, phù hợp để bảo đảm an ninh, trật tự cho nhân dân vui Tết; tăng cường thực hiện các giải pháp phòng chống cháy, nổ; có biện pháp ngăn chặn kịp thời, xử lý nghiêm hành vi vi phạm luật giao thông đường bộ, cờ bạc, gây rối trật tự công cộng; mở đợt cao điểm tấn công truy quét các loại tội phạm, triệt phá các ổ nhóm tệ nạn xã hội; phối hợp với các địa phương quản lý chặt chẽ vũ khí, vật liệu nổ. Bộ Chỉ huy Quân sự tỉnh, Bộ đội Biên phòng tỉnh, Công an tỉnh duy trì thường xuyên chế độ trực sẵn sàng chiến đấu trong dịp trước, trong và sau Tết nguyên đán.</w:t>
      </w:r>
    </w:p>
    <w:p>
      <w:r>
        <w:rPr>
          <w:b w:val="0"/>
          <w:i w:val="0"/>
        </w:rPr>
        <w:t>9. Điện lực Thanh Hoá, Công ty TNHH một thành viên Cấp nước Thanh Hoá, Viễn thông Thanh Hoá có trách nhiệm chuẩn bị tốt các điều kiện kỹ thuật, bố trí lực lượng và phương tiện, duy trì tốt chế độ thường trực để xử lý kịp thời những sự cố có thể xảy ra, đảm bảo cung cấp ổn định và liên tục điện, nước, thông tin liên lạc, đáp ứng nhu cầu sản xuất, kinh doanh và sinh hoạt của nhân dân.</w:t>
      </w:r>
    </w:p>
    <w:p>
      <w:r>
        <w:rPr>
          <w:b w:val="0"/>
          <w:i w:val="0"/>
        </w:rPr>
        <w:t>10. Các sở, ban, ngành cấp tỉnh, UBND các cấp chỉ đạo các cơ quan, đơn vị thực hiện nghiêm Chỉ thị của Thủ tướng Chính phủ về thực hành tiết kiệm, chống lãng phí; tổ chức chúc tết cán bộ, công chức, viên chức, người lao động tại cơ quan, đơn vị; không tổ chức mang hoa, tiền, quà đến chúc tết lãnh đạo cấp trên và lãnh đạo tỉnh; xây dựng kế hoạch và tổ chức tốt các hoạt động đón Tết với tinh thần vui tươi, lành mạnh, an toàn, tiết kiệm. Các đồng chí lãnh đạo ngành, địa phương, đơn vị dành thời gian tổ chức thăm hỏi, động viên, tặng quà các gia đình chính sách, gia đình có công, cán bộ lão thành cách mạng, các Bà mẹ Việt Nam anh hùng, cán bộ, chiến sỹ các lực lượng vũ trang, các chức sắc tôn giáo, người có uy tín trong đồng bào dân tộc thiểu số, người nghèo, người có hoàn cảnh khó khăn, đảm bảo cho mọi người, mọi nhà đều được vui xuân, đón Tết.</w:t>
      </w:r>
    </w:p>
    <w:p>
      <w:r>
        <w:rPr>
          <w:b w:val="0"/>
          <w:i w:val="0"/>
        </w:rPr>
        <w:t>11. Giám đốc các sở, Chủ tịch UBND cấp huyện có trách nhiệm chỉ đạo các cơ quan, đơn vị thuộc phạm vi quản lý tổ chức trực Tết, canh gác bảo vệ an toàn cơ quan (Kế hoạch tổ chức đón Tết và danh sách trực Tết của các sở, huyện gửi về Văn phòng UBND tỉnh trước ngày 05/02/2010); tổng hợp tình hình trước tết trong ngành, địa phương, báo cáo nhanh với UBND tỉnh (qua Văn phòng UBND tỉnh) trước ngày 09/02/2010, báo cáo đầy đủ tình hình trước, trong và sau Tết trước ngày 17/02/2010 (tức là ngày 04/01 năm Canh Dần); nếu có tình hình đột xuất, sự cố bất ngờ phải báo cáo kịp thời về số điện thoại: 037.3852.246; fax: 037.3851.255.</w:t>
      </w:r>
    </w:p>
    <w:p>
      <w:r>
        <w:rPr>
          <w:b w:val="0"/>
          <w:i w:val="0"/>
        </w:rPr>
        <w:t xml:space="preserve">Yêu cầu Giám đốc các sở, Thủ trưởng các ban, ngành cấp tỉnh, Chủ tịch UBND các huyện, thị xã, thành phố tổ chức quán triệt nghiêm Chỉ thị này trong phạm vi đơn vị, địa phương mình; đồng thời xây dựng kế hoạch cụ thể để triển khai thực hiện tốt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Nơi nhận: </w:t>
            </w:r>
            <w:r>
              <w:rPr>
                <w:b w:val="0"/>
                <w:i w:val="0"/>
              </w:rPr>
              <w:br/>
            </w:r>
            <w:r>
              <w:rPr>
                <w:b w:val="0"/>
                <w:i w:val="0"/>
              </w:rPr>
              <w:br/>
            </w:r>
            <w:r>
              <w:rPr>
                <w:b w:val="0"/>
                <w:i w:val="0"/>
              </w:rPr>
              <w:br/>
            </w:r>
            <w:r>
              <w:rPr>
                <w:b w:val="0"/>
                <w:i w:val="0"/>
              </w:rPr>
              <w:t xml:space="preserve">- Văn phòng Chính phủ (b/c); </w:t>
            </w:r>
            <w:r>
              <w:rPr>
                <w:b w:val="0"/>
                <w:i w:val="0"/>
              </w:rPr>
              <w:br/>
            </w:r>
            <w:r>
              <w:rPr>
                <w:b w:val="0"/>
                <w:i w:val="0"/>
              </w:rPr>
              <w:br/>
            </w:r>
            <w:r>
              <w:rPr>
                <w:b w:val="0"/>
                <w:i w:val="0"/>
              </w:rPr>
              <w:br/>
            </w:r>
            <w:r>
              <w:rPr>
                <w:b w:val="0"/>
                <w:i w:val="0"/>
              </w:rPr>
              <w:t xml:space="preserve">- TT Tỉnh uỷ, HĐND tỉnh (b/c); </w:t>
            </w:r>
            <w:r>
              <w:rPr>
                <w:b w:val="0"/>
                <w:i w:val="0"/>
              </w:rPr>
              <w:br/>
            </w:r>
            <w:r>
              <w:rPr>
                <w:b w:val="0"/>
                <w:i w:val="0"/>
              </w:rPr>
              <w:br/>
            </w:r>
            <w:r>
              <w:rPr>
                <w:b w:val="0"/>
                <w:i w:val="0"/>
              </w:rPr>
              <w:br/>
            </w:r>
            <w:r>
              <w:rPr>
                <w:b w:val="0"/>
                <w:i w:val="0"/>
              </w:rPr>
              <w:t>- Chủ tịch, cỏc PCT UBND tỉnh;</w:t>
            </w:r>
            <w:r>
              <w:rPr>
                <w:b w:val="0"/>
                <w:i w:val="0"/>
              </w:rPr>
              <w:br/>
            </w:r>
            <w:r>
              <w:rPr>
                <w:b w:val="0"/>
                <w:i w:val="0"/>
              </w:rPr>
              <w:br/>
            </w:r>
            <w:r>
              <w:rPr>
                <w:b w:val="0"/>
                <w:i w:val="0"/>
              </w:rPr>
              <w:br/>
            </w:r>
            <w:r>
              <w:rPr>
                <w:b w:val="0"/>
                <w:i w:val="0"/>
              </w:rPr>
              <w:t xml:space="preserve">- Các Sở, Ban, ngành, đoàn thể; </w:t>
            </w:r>
            <w:r>
              <w:rPr>
                <w:b w:val="0"/>
                <w:i w:val="0"/>
              </w:rPr>
              <w:br/>
            </w:r>
            <w:r>
              <w:rPr>
                <w:b w:val="0"/>
                <w:i w:val="0"/>
              </w:rPr>
              <w:br/>
            </w:r>
            <w:r>
              <w:rPr>
                <w:b w:val="0"/>
                <w:i w:val="0"/>
              </w:rPr>
              <w:br/>
            </w:r>
            <w:r>
              <w:rPr>
                <w:b w:val="0"/>
                <w:i w:val="0"/>
              </w:rPr>
              <w:t xml:space="preserve">- UBND cỏc huyện, thị xó, thành phố; </w:t>
            </w:r>
            <w:r>
              <w:rPr>
                <w:b w:val="0"/>
                <w:i w:val="0"/>
              </w:rPr>
              <w:br/>
            </w:r>
            <w:r>
              <w:rPr>
                <w:b w:val="0"/>
                <w:i w:val="0"/>
              </w:rPr>
              <w:br/>
            </w:r>
            <w:r>
              <w:rPr>
                <w:b w:val="0"/>
                <w:i w:val="0"/>
              </w:rPr>
              <w:br/>
            </w:r>
            <w:r>
              <w:rPr>
                <w:b w:val="0"/>
                <w:i w:val="0"/>
              </w:rPr>
              <w:t xml:space="preserve">- Lưu: VT, TH (02) </w:t>
            </w:r>
            <w:r>
              <w:rPr>
                <w:b w:val="0"/>
                <w:i w:val="0"/>
              </w:rPr>
              <w:br/>
            </w:r>
            <w:r>
              <w:rPr>
                <w:b w:val="0"/>
                <w:i w:val="0"/>
              </w:rPr>
              <w:br/>
            </w:r>
          </w:p>
        </w:tc>
        <w:tc>
          <w:tcPr>
            <w:tcW w:type="dxa" w:w="4320"/>
          </w:tcPr>
          <w:p>
            <w:r>
              <w:rPr>
                <w:b w:val="0"/>
                <w:i w:val="0"/>
              </w:rPr>
              <w:br/>
            </w:r>
            <w:r>
              <w:rPr>
                <w:b w:val="0"/>
                <w:i w:val="0"/>
              </w:rPr>
              <w:br/>
            </w:r>
            <w:r>
              <w:rPr>
                <w:b w:val="0"/>
                <w:i w:val="0"/>
              </w:rPr>
              <w:t xml:space="preserve"> </w:t>
            </w:r>
            <w:r>
              <w:rPr>
                <w:b/>
                <w:i w:val="0"/>
              </w:rPr>
              <w:t>CHỦ TỊCH</w:t>
            </w:r>
            <w:r>
              <w:rPr>
                <w:b w:val="0"/>
                <w:i w:val="0"/>
              </w:rPr>
              <w:br/>
            </w:r>
            <w:r>
              <w:rPr>
                <w:b w:val="0"/>
                <w:i w:val="0"/>
              </w:rPr>
              <w:br/>
            </w:r>
            <w:r>
              <w:rPr>
                <w:b w:val="0"/>
                <w:i w:val="0"/>
              </w:rPr>
              <w:br/>
            </w:r>
            <w:r>
              <w:rPr>
                <w:b w:val="0"/>
                <w:i w:val="0"/>
              </w:rPr>
              <w:br/>
            </w:r>
            <w:r>
              <w:rPr>
                <w:b/>
                <w:i w:val="0"/>
              </w:rPr>
              <w:t>(Đã ký)</w:t>
            </w:r>
            <w:r>
              <w:rPr>
                <w:b w:val="0"/>
                <w:i w:val="0"/>
              </w:rPr>
              <w:br/>
            </w:r>
            <w:r>
              <w:rPr>
                <w:b w:val="0"/>
                <w:i w:val="0"/>
              </w:rPr>
              <w:br/>
            </w:r>
            <w:r>
              <w:rPr>
                <w:b w:val="0"/>
                <w:i w:val="0"/>
              </w:rPr>
              <w:br/>
            </w:r>
            <w:r>
              <w:rPr>
                <w:b w:val="0"/>
                <w:i w:val="0"/>
              </w:rPr>
              <w:br/>
            </w:r>
            <w:r>
              <w:rPr>
                <w:b/>
                <w:i w:val="0"/>
              </w:rPr>
              <w:t>Mai Văn Ninh</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