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01/UB-CT về xây tượng Bác Hồ</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BẾN TRE</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CHỈ THỊ</w:t>
      </w:r>
    </w:p>
    <w:p>
      <w:r>
        <w:rPr>
          <w:b w:val="0"/>
          <w:i w:val="0"/>
        </w:rPr>
        <w:t>Chấp hành Nghị quyết của Ban Thường vụ Tỉnh uỷ về xây tượng Bác Hồ.</w:t>
      </w:r>
    </w:p>
    <w:p>
      <w:r>
        <w:rPr>
          <w:b w:val="0"/>
          <w:i w:val="0"/>
        </w:rPr>
        <w:t>Thường vụ TU-UBND tỉnh đã giao nhiệm vụ cho Ty Văn hoá và thông tin là cơ quan chủ quản xây tượng Bác.</w:t>
      </w:r>
    </w:p>
    <w:p>
      <w:r>
        <w:rPr>
          <w:b w:val="0"/>
          <w:i w:val="0"/>
        </w:rPr>
        <w:t>Để thực hiện chỉ đạo của Thường vụ TU–UBND tỉnh chỉ thị:</w:t>
      </w:r>
    </w:p>
    <w:p>
      <w:r>
        <w:rPr>
          <w:b w:val="0"/>
          <w:i w:val="0"/>
        </w:rPr>
        <w:t>1. UBND tỉnh phê duyệt 27 loại vật tư theo đề nghị số 204/VH-TT và giao nhiệm vụ cho Công ty Vật tư tổng hợp, Phòng Lâm nghiệp ưu tiên cung ứng vật tư, vật liệu. Các cơ quan chủ quản thiếu thì quan hệ các Bộ, Thành phố Hồ Chí Minh hợp đồng chạy lo đảm bảo biên độ thi công.</w:t>
      </w:r>
    </w:p>
    <w:p>
      <w:r>
        <w:rPr>
          <w:b w:val="0"/>
          <w:i w:val="0"/>
        </w:rPr>
        <w:t>2. Ty Văn hoá và thông tin báo cáo tờ trình nhiệm vụ thiết kế, bản vẽ, tiến độ thi công hoàn thành về UBND tỉnh phê duyệt tiếp.</w:t>
      </w:r>
    </w:p>
    <w:p>
      <w:r>
        <w:rPr>
          <w:b w:val="0"/>
          <w:i w:val="0"/>
        </w:rPr>
        <w:t>3. Ty Tài chánh, Ngân hàng tỉnh giải quyết kinh phí trong vốn sự nghiệp Văn hoá thông tin và chịu trách nhiệm quyết toán./.</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 TỈNH</w:t>
            </w:r>
            <w:r>
              <w:rPr>
                <w:b w:val="0"/>
                <w:i w:val="0"/>
              </w:rPr>
              <w:br/>
            </w:r>
            <w:r>
              <w:rPr>
                <w:b/>
                <w:i w:val="0"/>
              </w:rPr>
              <w:t>PHÓ CHỦ TỊCH</w:t>
            </w:r>
            <w:r>
              <w:rPr>
                <w:b w:val="0"/>
                <w:i w:val="0"/>
              </w:rPr>
              <w:br/>
            </w:r>
            <w:r>
              <w:rPr>
                <w:b/>
                <w:i/>
              </w:rPr>
              <w:t>(Đã ký)</w:t>
            </w:r>
            <w:r>
              <w:rPr>
                <w:b w:val="0"/>
                <w:i w:val="0"/>
              </w:rPr>
              <w:br/>
            </w:r>
            <w:r>
              <w:rPr>
                <w:b/>
                <w:i w:val="0"/>
              </w:rPr>
              <w:t>NGUYỄN VĂN THÀNH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