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02/2007/QĐ-BGTVT Về việc sửa đổi, bổ sung các Quyết định số 75/2005/QĐ-BGTVT ngày 30 tháng 12 năm 2005, và số 76/2005/QĐ-BGTVT ngày 30 tháng 12 năm 2005 và số 27/2006/QĐ-BGTVT ngày 08 tháng 6 năm 2006 của Bộ trưởng Bộ Giao thông vận tải</w:t>
      </w:r>
    </w:p>
    <w:p>
      <w:r>
        <w:rPr>
          <w:b w:val="0"/>
          <w:i w:val="0"/>
        </w:rPr>
        <w:br/>
      </w:r>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02/2007/QĐ-BGTVT</w:t>
        <w:br/>
        <w:t xml:space="preserve">     </w:t>
      </w:r>
      <w:r>
        <w:rPr>
          <w:b w:val="0"/>
          <w:i w:val="0"/>
        </w:rPr>
        <w:br/>
      </w:r>
      <w:r>
        <w:rPr>
          <w:b w:val="0"/>
          <w:i/>
        </w:rPr>
        <w:br/>
        <w:t xml:space="preserve">      Hà Nội, ngày 17 tháng 1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02/2007/QĐ-BGTVT</w:t>
        <w:br/>
        <w:t xml:space="preserve">     </w:t>
      </w:r>
      <w:r>
        <w:rPr>
          <w:b w:val="0"/>
          <w:i w:val="0"/>
        </w:rPr>
        <w:br/>
      </w:r>
      <w:r>
        <w:rPr>
          <w:b w:val="0"/>
          <w:i/>
        </w:rPr>
        <w:br/>
        <w:t xml:space="preserve">      Hà Nội, ngày 17 tháng 1 năm 2007</w:t>
        <w:br/>
        <w:t xml:space="preserve">     </w:t>
      </w:r>
      <w:r>
        <w:rPr>
          <w:b w:val="0"/>
          <w:i w:val="0"/>
        </w:rPr>
        <w:br/>
      </w:r>
      <w:r>
        <w:rPr>
          <w:b w:val="0"/>
          <w:i w:val="0"/>
        </w:rPr>
        <w:br/>
      </w:r>
    </w:p>
    <w:p>
      <w:r>
        <w:rPr>
          <w:b w:val="0"/>
          <w:i w:val="0"/>
        </w:rPr>
        <w:br/>
      </w:r>
      <w:r>
        <w:rPr>
          <w:b/>
          <w:i w:val="0"/>
        </w:rPr>
        <w:br/>
      </w:r>
      <w:r>
        <w:rPr>
          <w:b/>
          <w:i w:val="0"/>
        </w:rPr>
        <w:br/>
        <w:t xml:space="preserve">       BỘ GIAO THÔNG VẬN TẢI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GIAO THÔNG VẬN TẢI</w:t>
        <w:br/>
        <w:t xml:space="preserve">      </w:t>
      </w:r>
      <w:r>
        <w:rPr>
          <w:b w:val="0"/>
          <w:i w:val="0"/>
        </w:rPr>
        <w:br/>
      </w:r>
      <w:r>
        <w:rPr>
          <w:b w:val="0"/>
          <w:i w:val="0"/>
        </w:rPr>
        <w:br/>
      </w:r>
    </w:p>
    <w:p>
      <w:r>
        <w:rPr>
          <w:b w:val="0"/>
          <w:i w:val="0"/>
        </w:rPr>
        <w:br/>
        <w:t xml:space="preserve">       BỘ GIAO THÔNG VẬN TẢI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02/2007/QĐ-BGTVT</w:t>
        <w:br/>
        <w:t xml:space="preserve">     </w:t>
      </w:r>
      <w:r>
        <w:rPr>
          <w:b w:val="0"/>
          <w:i w:val="0"/>
        </w:rPr>
        <w:br/>
      </w:r>
      <w:r>
        <w:rPr>
          <w:b w:val="0"/>
          <w:i/>
        </w:rPr>
        <w:br/>
        <w:t xml:space="preserve">      Hà Nội, ngày 17 tháng 1 năm 2007</w:t>
        <w:br/>
        <w:t xml:space="preserve">     </w:t>
      </w:r>
      <w:r>
        <w:rPr>
          <w:b w:val="0"/>
          <w:i w:val="0"/>
        </w:rPr>
        <w:br/>
      </w:r>
    </w:p>
    <w:p>
      <w:pPr>
        <w:jc w:val="center"/>
      </w:pPr>
      <w:r>
        <w:rPr>
          <w:b w:val="0"/>
          <w:i w:val="0"/>
        </w:rPr>
        <w:br/>
        <w:t xml:space="preserve">      Số: 02/2007/QĐ-BGTVT</w:t>
        <w:br/>
        <w:t xml:space="preserve">     </w:t>
      </w:r>
    </w:p>
    <w:p>
      <w:pPr>
        <w:jc w:val="center"/>
      </w:pPr>
      <w:r>
        <w:rPr>
          <w:b w:val="0"/>
          <w:i w:val="0"/>
        </w:rPr>
        <w:br/>
        <w:t xml:space="preserve">      Hà Nội, ngày 17 tháng 1 năm 2007</w:t>
        <w:br/>
        <w:t xml:space="preserve">     </w:t>
      </w:r>
    </w:p>
    <w:p>
      <w:r>
        <w:rPr>
          <w:b/>
          <w:i w:val="0"/>
        </w:rPr>
        <w:t>QUYẾT ĐỊNH</w:t>
      </w:r>
    </w:p>
    <w:p>
      <w:r>
        <w:rPr>
          <w:b/>
          <w:i w:val="0"/>
        </w:rPr>
        <w:t xml:space="preserve">Về việc sửa đổi, bổ sung các Quyết định số 75/2005/QĐ-BGTVT ngày 30 tháng 12 năm 2005, </w:t>
      </w:r>
      <w:r>
        <w:rPr>
          <w:b/>
          <w:i w:val="0"/>
        </w:rPr>
        <w:t xml:space="preserve">số 76/2005/QĐ-BGTVT ngày 30 tháng 12 năm 2005 và số 27/2006/QĐ-BGTVT </w:t>
      </w:r>
      <w:r>
        <w:rPr>
          <w:b/>
          <w:i w:val="0"/>
        </w:rPr>
        <w:t>ngày 08 tháng 6 năm 2006 của Bộ trưởng Bộ Giao thông vận tải</w:t>
      </w:r>
    </w:p>
    <w:p>
      <w:r>
        <w:rPr>
          <w:b/>
          <w:i w:val="0"/>
        </w:rPr>
        <w:t>_________________</w:t>
      </w:r>
    </w:p>
    <w:p>
      <w:r>
        <w:rPr>
          <w:b/>
          <w:i w:val="0"/>
        </w:rPr>
        <w:t>BỘ TRƯỞNG BỘ GIAO THÔNG VẬN TẢI</w:t>
      </w:r>
    </w:p>
    <w:p>
      <w:r>
        <w:rPr>
          <w:b w:val="0"/>
          <w:i/>
        </w:rPr>
        <w:t>Căn cứ Luật Ban hành văn bản quy phạm pháp luật ngày 12 tháng 11 năm 1996 và Luật sửa đổi bổ sung một số điều của Luật Ban hành văn bản quy phạm pháp luật ngày 16 tháng 12 năm 2002;</w:t>
      </w:r>
    </w:p>
    <w:p>
      <w:r>
        <w:rPr>
          <w:b w:val="0"/>
          <w:i/>
        </w:rPr>
        <w:t>Căn cứ Nghị định số 34/2003/NĐ-CP ngày 04 tháng 4 năm 2003 của Chính phủ quy định chức năng, nhiệm vụ, quyền hạn và cơ cấu tổ chức của Bộ Giao thông vận tải;</w:t>
      </w:r>
    </w:p>
    <w:p>
      <w:r>
        <w:rPr>
          <w:b w:val="0"/>
          <w:i/>
        </w:rPr>
        <w:t>Căn cứ Thông tư số 04/2005/TT-VPCP ngày 21 tháng 3 năm 2005 của Văn phòng Chính phủ hướng dẫn thực hiện Nghị định số 104/2004/NĐ-CP ngày 23 tháng 3 năm 2004 của Chính phủ về Công báo nước Cộng hòa xã hội chủ nghĩa Việt Nam đối với hoạt động của Công báo ở Trung ương;</w:t>
      </w:r>
    </w:p>
    <w:p>
      <w:r>
        <w:rPr>
          <w:b w:val="0"/>
          <w:i/>
        </w:rPr>
        <w:t>Xét văn bản số 2330/ĐS-ATGT ngày 25 tháng 10 năm 2006 của Tổng công ty Đường sắt Việt Nam; Văn bản số 7275/BGTVT-KHCN ngày 20 tháng 11 năm 2006 của Bộ Giao thông vận tải; Văn bản số 1998/CĐSVN-VTPC ngày 30 tháng 11 năm 2006 của Cục Đường sắt Việt Nam;</w:t>
      </w:r>
    </w:p>
    <w:p>
      <w:r>
        <w:rPr>
          <w:b w:val="0"/>
          <w:i/>
        </w:rPr>
        <w:t>Theo đề nghị của Vụ trưởng Vụ Khoa học - Công nghệ,</w:t>
      </w:r>
    </w:p>
    <w:p>
      <w:r>
        <w:rPr>
          <w:b/>
          <w:i w:val="0"/>
        </w:rPr>
        <w:t>QUYẾT ĐỊNH:</w:t>
      </w:r>
    </w:p>
    <w:p>
      <w:r>
        <w:rPr>
          <w:b/>
          <w:i w:val="0"/>
        </w:rPr>
        <w:t xml:space="preserve">Điều 1. </w:t>
      </w:r>
      <w:r>
        <w:rPr>
          <w:b w:val="0"/>
          <w:i w:val="0"/>
        </w:rPr>
        <w:t>Chỉnh sửa, bổ sung một số điểm (như phụ lục kèm theo đây) trong nội dung của 03 Tiêu chuẩn ngành về đường sắt sau đây:</w:t>
      </w:r>
    </w:p>
    <w:p>
      <w:r>
        <w:rPr>
          <w:b w:val="0"/>
          <w:i w:val="0"/>
        </w:rPr>
        <w:t>1. "Quy trình chạy tàu và công tác dồn đường sắt", số đăng ký 22TCN 342-05, được ban hành kèm theo Quyết định số 75/2005/QĐ-BGTVT ngày 30 tháng 12 năm 2005 của Bộ Giao thông vận tải.</w:t>
      </w:r>
    </w:p>
    <w:p>
      <w:r>
        <w:rPr>
          <w:b w:val="0"/>
          <w:i w:val="0"/>
        </w:rPr>
        <w:t>2. "Quy phạm kỹ thuật khai thác đường sắt", số đăng ký 22TCN 340-05, được ban hành kèm theo Quyết định số 76/2005/QĐ-BGTVT ngày 30 tháng 12 năm 2005 của Bộ Giao thông vận tải;</w:t>
      </w:r>
    </w:p>
    <w:p>
      <w:r>
        <w:rPr>
          <w:b w:val="0"/>
          <w:i w:val="0"/>
        </w:rPr>
        <w:t>3. "Quy trình tín hiệu đường sắt", số đăng ký: 22TCN 341-05 được ban hành kèm theo Quyết định số 27/2006/QĐ-BGTVT ngày 08 tháng 6 năm 2006 của Bộ Giao thông vận tải;</w:t>
      </w:r>
    </w:p>
    <w:p>
      <w:r>
        <w:rPr>
          <w:b/>
          <w:i w:val="0"/>
        </w:rPr>
        <w:t xml:space="preserve">Điều 2. </w:t>
      </w:r>
      <w:r>
        <w:rPr>
          <w:b w:val="0"/>
          <w:i w:val="0"/>
        </w:rPr>
        <w:t>Giao Cục trưởng Cục Đường sắt Việt Nam thông báo và hướng dẫn các đơn vị, cá nhân có liên quan thực hiện các điểm chỉnh sửa, bổ sung như 03 phụ lục kèm theo Quyết định này.</w:t>
      </w:r>
    </w:p>
    <w:p>
      <w:r>
        <w:rPr>
          <w:b/>
          <w:i w:val="0"/>
        </w:rPr>
        <w:t xml:space="preserve">Điều 3. </w:t>
      </w:r>
      <w:r>
        <w:rPr>
          <w:b w:val="0"/>
          <w:i w:val="0"/>
        </w:rPr>
        <w:t>Quyết định này có hiệu lực thi hành sau 15 ngày, kể từ ngày đăng Công báo.</w:t>
      </w:r>
    </w:p>
    <w:p>
      <w:r>
        <w:rPr>
          <w:b/>
          <w:i w:val="0"/>
        </w:rPr>
        <w:t xml:space="preserve">Điều 4. </w:t>
      </w:r>
      <w:r>
        <w:rPr>
          <w:b w:val="0"/>
          <w:i w:val="0"/>
        </w:rPr>
        <w:t>Chánh Văn phòng, Chánh Thanh tra, Vụ trưởng các Vụ, Cục trưởng Cục Đường sắt Việt Nam, Chủ tịch Hội đồng quản trị, Tổng giám đốc Tổng công ty Đường sắt Việt Nam và Thủ trưởng các cơ quan, đơn vị có liên quan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Thế Minh</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Thế Minh</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Phạm Thế Minh</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Phạm Thế Minh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