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02/2014/NQ-HĐND Về điều chỉnh, bổ sung dự toán ngân sách địa phương</w:t>
        <w:br/>
        <w:t xml:space="preserve"> và kế hoạch đầu tư phát triển năm 2014 trên địa bàn tỉnh</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02/2014/NQ-HĐND</w:t>
      </w:r>
      <w:r>
        <w:rPr>
          <w:b w:val="0"/>
          <w:i w:val="0"/>
        </w:rPr>
        <w:br/>
      </w:r>
      <w:r>
        <w:rPr>
          <w:b w:val="0"/>
          <w:i w:val="0"/>
        </w:rPr>
        <w:br/>
      </w:r>
      <w:r>
        <w:rPr>
          <w:b w:val="0"/>
          <w:i/>
        </w:rPr>
        <w:br/>
      </w:r>
      <w:r>
        <w:rPr>
          <w:b w:val="0"/>
          <w:i/>
        </w:rPr>
        <w:t>Bình Định, ngày 10 tháng 7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02/2014/NQ-HĐND</w:t>
      </w:r>
      <w:r>
        <w:rPr>
          <w:b w:val="0"/>
          <w:i w:val="0"/>
        </w:rPr>
        <w:br/>
      </w:r>
      <w:r>
        <w:rPr>
          <w:b w:val="0"/>
          <w:i w:val="0"/>
        </w:rPr>
        <w:br/>
      </w:r>
      <w:r>
        <w:rPr>
          <w:b w:val="0"/>
          <w:i/>
        </w:rPr>
        <w:br/>
      </w:r>
      <w:r>
        <w:rPr>
          <w:b w:val="0"/>
          <w:i/>
        </w:rPr>
        <w:t>Bình Định, ngày 10 tháng 7 năm 2014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02/2014/NQ-HĐND</w:t>
      </w:r>
      <w:r>
        <w:rPr>
          <w:b w:val="0"/>
          <w:i w:val="0"/>
        </w:rPr>
        <w:br/>
      </w:r>
      <w:r>
        <w:rPr>
          <w:b w:val="0"/>
          <w:i w:val="0"/>
        </w:rPr>
        <w:br/>
      </w:r>
      <w:r>
        <w:rPr>
          <w:b w:val="0"/>
          <w:i/>
        </w:rPr>
        <w:br/>
      </w:r>
      <w:r>
        <w:rPr>
          <w:b w:val="0"/>
          <w:i/>
        </w:rPr>
        <w:t>Bình Định, ngày 10 tháng 7 năm 2014</w:t>
      </w:r>
      <w:r>
        <w:rPr>
          <w:b w:val="0"/>
          <w:i/>
        </w:rPr>
        <w:br/>
      </w:r>
      <w:r>
        <w:rPr>
          <w:b w:val="0"/>
          <w:i w:val="0"/>
        </w:rPr>
        <w:br/>
      </w:r>
    </w:p>
    <w:p>
      <w:pPr>
        <w:jc w:val="center"/>
      </w:pPr>
      <w:r>
        <w:rPr>
          <w:b w:val="0"/>
          <w:i w:val="0"/>
        </w:rPr>
        <w:br/>
      </w:r>
      <w:r>
        <w:rPr>
          <w:b w:val="0"/>
          <w:i w:val="0"/>
        </w:rPr>
        <w:t>Số: 02/2014/NQ-HĐND</w:t>
      </w:r>
      <w:r>
        <w:rPr>
          <w:b w:val="0"/>
          <w:i w:val="0"/>
        </w:rPr>
        <w:br/>
      </w:r>
    </w:p>
    <w:p>
      <w:pPr>
        <w:jc w:val="center"/>
      </w:pPr>
      <w:r>
        <w:rPr>
          <w:b w:val="0"/>
          <w:i w:val="0"/>
        </w:rPr>
        <w:br/>
      </w:r>
      <w:r>
        <w:rPr>
          <w:b w:val="0"/>
          <w:i w:val="0"/>
        </w:rPr>
        <w:t>Bình Định, ngày 10 tháng 7 năm 2014</w:t>
      </w:r>
      <w:r>
        <w:rPr>
          <w:b w:val="0"/>
          <w:i w:val="0"/>
        </w:rPr>
        <w:br/>
      </w:r>
    </w:p>
    <w:p>
      <w:r>
        <w:rPr>
          <w:b w:val="0"/>
          <w:i w:val="0"/>
        </w:rPr>
        <w:br/>
      </w:r>
      <w:r>
        <w:rPr>
          <w:b/>
          <w:i w:val="0"/>
        </w:rPr>
        <w:t>NGHỊ QUYẾT</w:t>
      </w:r>
      <w:r>
        <w:rPr>
          <w:b w:val="0"/>
          <w:i w:val="0"/>
        </w:rPr>
        <w:br/>
      </w:r>
      <w:r>
        <w:rPr>
          <w:b/>
          <w:i w:val="0"/>
        </w:rPr>
        <w:t>Về điều chỉnh, bổ sung dự toán ngân sách địa phương</w:t>
      </w:r>
      <w:r>
        <w:rPr>
          <w:b w:val="0"/>
          <w:i w:val="0"/>
        </w:rPr>
        <w:br/>
      </w:r>
      <w:r>
        <w:rPr>
          <w:b/>
          <w:i w:val="0"/>
        </w:rPr>
        <w:t xml:space="preserve"> và kế hoạch đầu tư phát triển năm 2014 trên địa bàn tỉnh</w:t>
      </w:r>
      <w:r>
        <w:rPr>
          <w:b w:val="0"/>
          <w:i w:val="0"/>
        </w:rPr>
        <w:br/>
      </w:r>
      <w:r>
        <w:rPr>
          <w:b/>
          <w:i w:val="0"/>
        </w:rPr>
        <w:t>—————</w:t>
      </w:r>
      <w:r>
        <w:rPr>
          <w:b w:val="0"/>
          <w:i w:val="0"/>
        </w:rPr>
        <w:br/>
      </w:r>
      <w:r>
        <w:rPr>
          <w:b/>
          <w:i w:val="0"/>
        </w:rPr>
        <w:t>HỘI ĐỒNG NHÂN DÂN TỈNH BÌNH ĐỊNH</w:t>
      </w:r>
      <w:r>
        <w:rPr>
          <w:b w:val="0"/>
          <w:i w:val="0"/>
        </w:rPr>
        <w:br/>
      </w:r>
      <w:r>
        <w:rPr>
          <w:b/>
          <w:i w:val="0"/>
        </w:rPr>
        <w:t>KHÓA XI, KỲ HỌP THỨ 8</w:t>
      </w:r>
      <w:r>
        <w:rPr>
          <w:b w:val="0"/>
          <w:i w:val="0"/>
        </w:rPr>
        <w:br/>
      </w:r>
      <w:r>
        <w:rPr>
          <w:b w:val="0"/>
          <w:i w:val="0"/>
        </w:rPr>
        <w:t>Căn cứ Luật Tổ chức Hội đồng nhân dân và Ủy ban nhân dân ngày 26 tháng 11 năm 2003;</w:t>
      </w:r>
      <w:r>
        <w:rPr>
          <w:b w:val="0"/>
          <w:i w:val="0"/>
        </w:rPr>
        <w:br/>
      </w:r>
      <w:r>
        <w:rPr>
          <w:b w:val="0"/>
          <w:i w:val="0"/>
        </w:rPr>
        <w:t>Căn cứ Luật Ban hành văn bản Quy phạm pháp luật của Hội đồng nhân dân, Ủy ban nhân dân ngày 03 tháng 12 năm 2004;</w:t>
      </w:r>
      <w:r>
        <w:rPr>
          <w:b w:val="0"/>
          <w:i w:val="0"/>
        </w:rPr>
        <w:br/>
      </w:r>
      <w:r>
        <w:rPr>
          <w:b w:val="0"/>
          <w:i w:val="0"/>
        </w:rPr>
        <w:t>Căn cứ Nghị quyết số 753/2005/NQ-UBTVQH11 ngày 02 tháng 4 năm 2005 của Ủy ban Thường vụ Quốc hội ban hành Quy chế hoạt động của Hội đồng nhân dân;</w:t>
      </w:r>
      <w:r>
        <w:rPr>
          <w:b w:val="0"/>
          <w:i w:val="0"/>
        </w:rPr>
        <w:br/>
      </w:r>
      <w:r>
        <w:rPr>
          <w:b w:val="0"/>
          <w:i w:val="0"/>
        </w:rPr>
        <w:t>Căn cứ Luật Ngân sách Nhà nước năm 2002;</w:t>
      </w:r>
      <w:r>
        <w:rPr>
          <w:b w:val="0"/>
          <w:i w:val="0"/>
        </w:rPr>
        <w:br/>
      </w:r>
      <w:r>
        <w:rPr>
          <w:b w:val="0"/>
          <w:i w:val="0"/>
        </w:rPr>
        <w:t>Căn cứ Quyết định 60/2010/QĐ-TTg ngày 30/9/2010 của Thủ tướng Chính phủ về việc ban hành các nguyên tắc, tiêu chí và định mức phân bổ vốn đầu tư phát triển bằng nguồn ngân sách nhà nước giai đoạn 2011 - 2015;</w:t>
      </w:r>
      <w:r>
        <w:rPr>
          <w:b w:val="0"/>
          <w:i w:val="0"/>
        </w:rPr>
        <w:br/>
      </w:r>
      <w:r>
        <w:rPr>
          <w:b w:val="0"/>
          <w:i w:val="0"/>
        </w:rPr>
        <w:t>Căn cứ Nghị quyết số 15/2013/NQ-HĐND ngày 11 tháng 12 năm 2013 của Hội đồng nhân dân tỉnh Khóa XI, kỳ họp thứ 7 về dự toán ngân sách và phân bổ ngân sách tỉnh năm 2014;</w:t>
      </w:r>
      <w:r>
        <w:rPr>
          <w:b w:val="0"/>
          <w:i w:val="0"/>
        </w:rPr>
        <w:br/>
      </w:r>
      <w:r>
        <w:rPr>
          <w:b w:val="0"/>
          <w:i w:val="0"/>
        </w:rPr>
        <w:t>Căn cứ Nghị quyết số 16/2013/NQ-HĐND ngày 11 tháng 12 năm 2013 của Hội đồng nhân dân tỉnh Khóa XI, kỳ họp thứ 7 về kế hoạch đầu tư phát triển năm 2014;</w:t>
      </w:r>
      <w:r>
        <w:rPr>
          <w:b w:val="0"/>
          <w:i w:val="0"/>
        </w:rPr>
        <w:br/>
      </w:r>
      <w:r>
        <w:rPr>
          <w:b w:val="0"/>
          <w:i w:val="0"/>
        </w:rPr>
        <w:t>Sau khi xem xét Tờ trình số 46/TTr-UBND ngày 30 tháng 6 năm 2014 của Ủy ban nhân dân tỉnh về điều chỉnh, bổ sung kế hoạch đầu tư phát triển 6 tháng cuối năm 2014; Báo cáo thẩm tra số 12/BCTT-KT&amp;NS ngày 04 tháng 7 năm 2014 của Ban Kinh tế và Ngân sách Hội đồng nhân dân tỉnh và ý kiến thảo luận của các đại biểu Hội đồng nhân dân tỉnh tại kỳ họp,</w:t>
      </w:r>
      <w:r>
        <w:rPr>
          <w:b w:val="0"/>
          <w:i w:val="0"/>
        </w:rPr>
        <w:br/>
      </w:r>
      <w:r>
        <w:rPr>
          <w:b/>
          <w:i w:val="0"/>
        </w:rPr>
        <w:t>QUYẾT NGHỊ:</w:t>
      </w:r>
      <w:r>
        <w:rPr>
          <w:b w:val="0"/>
          <w:i w:val="0"/>
        </w:rPr>
        <w:br/>
      </w:r>
      <w:r>
        <w:rPr>
          <w:b/>
          <w:i w:val="0"/>
        </w:rPr>
        <w:t xml:space="preserve">Điều 1. </w:t>
      </w:r>
      <w:r>
        <w:rPr>
          <w:b w:val="0"/>
          <w:i w:val="0"/>
        </w:rPr>
        <w:t>Nhất trí thông qua nội dung điều chỉnh, bổ sung dự toán ngân sách địa phương và kế hoạch đầu tư phát triển năm 2014 như sau:</w:t>
      </w:r>
      <w:r>
        <w:rPr>
          <w:b w:val="0"/>
          <w:i w:val="0"/>
        </w:rPr>
        <w:br/>
      </w:r>
      <w:r>
        <w:rPr>
          <w:b w:val="0"/>
          <w:i w:val="0"/>
        </w:rPr>
        <w:t xml:space="preserve">1. Điều chỉnh tăng dự toán thu tiền sử dụng đất ngân sách tỉnh 50.000.000.000 đồng </w:t>
      </w:r>
      <w:r>
        <w:rPr>
          <w:b w:val="0"/>
          <w:i/>
        </w:rPr>
        <w:t>(chi tiết như phụ lục 01 kèm theo).</w:t>
      </w:r>
      <w:r>
        <w:rPr>
          <w:b w:val="0"/>
          <w:i w:val="0"/>
        </w:rPr>
        <w:br/>
      </w:r>
      <w:r>
        <w:rPr>
          <w:b w:val="0"/>
          <w:i w:val="0"/>
        </w:rPr>
        <w:t xml:space="preserve">2. Điều chỉnh tăng dự toán chi ngân sách tỉnh từ nguồn thu tiền sử dụng đất 50.000.000.000 đồng </w:t>
      </w:r>
      <w:r>
        <w:rPr>
          <w:b w:val="0"/>
          <w:i/>
        </w:rPr>
        <w:t>(chi tiết như phụ lục 02 kèm theo).</w:t>
      </w:r>
      <w:r>
        <w:rPr>
          <w:b w:val="0"/>
          <w:i w:val="0"/>
        </w:rPr>
        <w:br/>
      </w:r>
      <w:r>
        <w:rPr>
          <w:b w:val="0"/>
          <w:i w:val="0"/>
        </w:rPr>
        <w:t xml:space="preserve">3. Bổ sung Kế hoạch vốn đầu tư phát triển năm 2014 từ nguồn thu tiền sử dụng đất 50.000.000.000 đồng và phân bổ chi tiết cho các danh mục công trình </w:t>
      </w:r>
      <w:r>
        <w:rPr>
          <w:b w:val="0"/>
          <w:i/>
        </w:rPr>
        <w:t>(chi tiết như phụ lục 03 kèm theo).</w:t>
      </w:r>
      <w:r>
        <w:rPr>
          <w:b w:val="0"/>
          <w:i w:val="0"/>
        </w:rPr>
        <w:br/>
      </w:r>
      <w:r>
        <w:rPr>
          <w:b w:val="0"/>
          <w:i w:val="0"/>
        </w:rPr>
        <w:t xml:space="preserve">4. Điều chỉnh, bổ sung kế hoạch đầu tư phát triển năm 2014 </w:t>
      </w:r>
      <w:r>
        <w:rPr>
          <w:b w:val="0"/>
          <w:i/>
        </w:rPr>
        <w:t>(chi tiết như phụ lục 04 kèm theo).</w:t>
      </w:r>
      <w:r>
        <w:rPr>
          <w:b w:val="0"/>
          <w:i w:val="0"/>
        </w:rPr>
        <w:br/>
      </w:r>
      <w:r>
        <w:rPr>
          <w:b/>
          <w:i w:val="0"/>
        </w:rPr>
        <w:t xml:space="preserve">Điều 2. </w:t>
      </w:r>
      <w:r>
        <w:rPr>
          <w:b w:val="0"/>
          <w:i w:val="0"/>
        </w:rPr>
        <w:t>Ủy ban nhân dân tỉnh có trách nhiệm tổ chức thực hiện Nghị quyết.</w:t>
      </w:r>
      <w:r>
        <w:rPr>
          <w:b w:val="0"/>
          <w:i w:val="0"/>
        </w:rPr>
        <w:br/>
      </w:r>
      <w:r>
        <w:rPr>
          <w:b/>
          <w:i w:val="0"/>
        </w:rPr>
        <w:t xml:space="preserve">Điều 3. </w:t>
      </w:r>
      <w:r>
        <w:rPr>
          <w:b w:val="0"/>
          <w:i w:val="0"/>
        </w:rPr>
        <w:t>Thường trực Hội đồng nhân dân tỉnh, các Ban của Hội đồng nhân dân tỉnh và đại biểu Hội đồng nhân dân tỉnh kiểm tra, giám sát việc thực hiện Nghị quyết.</w:t>
      </w:r>
      <w:r>
        <w:rPr>
          <w:b w:val="0"/>
          <w:i w:val="0"/>
        </w:rPr>
        <w:br/>
      </w:r>
      <w:r>
        <w:rPr>
          <w:b/>
          <w:i w:val="0"/>
        </w:rPr>
        <w:t xml:space="preserve">Điều 4. </w:t>
      </w:r>
      <w:r>
        <w:rPr>
          <w:b w:val="0"/>
          <w:i w:val="0"/>
        </w:rPr>
        <w:t>Nghị quyết này điều chỉnh, bổ sung Nghị quyết số 15/2013/NQ-HĐND ngày 11 tháng 12 năm 2013; Nghị quyết số 16/2013/NQ-HĐND ngày 11 tháng 12 năm 2013 của HĐND tỉnh khóa XI.</w:t>
      </w:r>
      <w:r>
        <w:rPr>
          <w:b w:val="0"/>
          <w:i w:val="0"/>
        </w:rPr>
        <w:br/>
      </w:r>
      <w:r>
        <w:rPr>
          <w:b w:val="0"/>
          <w:i w:val="0"/>
        </w:rPr>
        <w:t>Nghị quyết này đã được Hội đồng nhân dân tỉnh khóa XI, kỳ họp thứ 8 thông qua ngày 10 tháng 7 năm 2014 và có hiệu lực thi hành kể từ ngày 20 tháng 7 năm 2014./.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t xml:space="preserve"> </w:t>
      </w:r>
      <w:r>
        <w:rPr>
          <w:b w:val="0"/>
          <w:i w:val="0"/>
        </w:rPr>
        <w:br/>
      </w:r>
      <w:r>
        <w:rPr>
          <w:b w:val="0"/>
          <w:i w:val="0"/>
        </w:rPr>
        <w:t xml:space="preserve"> </w:t>
      </w:r>
      <w:r>
        <w:rPr>
          <w:b w:val="0"/>
          <w:i w:val="0"/>
        </w:rPr>
        <w:br/>
      </w:r>
      <w:r>
        <w:rPr>
          <w:b/>
          <w:i w:val="0"/>
        </w:rPr>
        <w:t>Nguyễn Thanh Tùng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t xml:space="preserve"> </w:t>
            </w:r>
            <w:r>
              <w:rPr>
                <w:b w:val="0"/>
                <w:i w:val="0"/>
              </w:rPr>
              <w:br/>
            </w:r>
            <w:r>
              <w:rPr>
                <w:b w:val="0"/>
                <w:i w:val="0"/>
              </w:rPr>
              <w:t xml:space="preserve"> </w:t>
            </w:r>
            <w:r>
              <w:rPr>
                <w:b w:val="0"/>
                <w:i w:val="0"/>
              </w:rPr>
              <w:br/>
            </w:r>
            <w:r>
              <w:rPr>
                <w:b/>
                <w:i w:val="0"/>
              </w:rPr>
              <w:t>Nguyễn Thanh Tùng</w:t>
            </w:r>
          </w:p>
        </w:tc>
      </w:tr>
    </w:tbl>
    <w:p>
      <w:r>
        <w:rPr>
          <w:b w:val="0"/>
          <w:i w:val="0"/>
        </w:rPr>
        <w:t>Phụ lục 01</w:t>
      </w:r>
    </w:p>
    <w:p>
      <w:r>
        <w:rPr>
          <w:b/>
          <w:i w:val="0"/>
        </w:rPr>
        <w:t>DỰ TOÁN THU NGÂN SÁCH NĂM 2014 (ĐIỀU CHỈNH)</w:t>
      </w:r>
    </w:p>
    <w:p>
      <w:r>
        <w:rPr>
          <w:b w:val="0"/>
          <w:i/>
        </w:rPr>
        <w:t>(Kèm theo Nghị quyết số 02/2014/NQ-HĐND ngày 10/7/2014 của HĐND tỉnh Khóa XI)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val="0"/>
                <w:i w:val="0"/>
              </w:rPr>
              <w:t xml:space="preserve"> </w:t>
            </w:r>
          </w:p>
        </w:tc>
        <w:tc>
          <w:tcPr>
            <w:tcW w:type="dxa" w:w="1440"/>
          </w:tcPr>
          <w:p>
            <w:r>
              <w:rPr>
                <w:b w:val="0"/>
                <w:i w:val="0"/>
              </w:rPr>
              <w:br/>
            </w:r>
            <w:r>
              <w:rPr>
                <w:b w:val="0"/>
                <w:i w:val="0"/>
              </w:rPr>
              <w:t xml:space="preserve"> </w:t>
            </w:r>
          </w:p>
        </w:tc>
        <w:tc>
          <w:tcPr>
            <w:tcW w:type="dxa" w:w="1440"/>
          </w:tcPr>
          <w:p>
            <w:r>
              <w:rPr>
                <w:b w:val="0"/>
                <w:i w:val="0"/>
              </w:rPr>
              <w:br/>
            </w:r>
            <w:r>
              <w:rPr>
                <w:b w:val="0"/>
                <w:i w:val="0"/>
              </w:rPr>
              <w:t xml:space="preserve"> </w:t>
            </w:r>
          </w:p>
        </w:tc>
        <w:tc>
          <w:tcPr>
            <w:tcW w:type="dxa" w:w="1440"/>
          </w:tcPr>
          <w:p>
            <w:r>
              <w:rPr>
                <w:b w:val="0"/>
                <w:i w:val="0"/>
              </w:rPr>
              <w:br/>
            </w:r>
            <w:r>
              <w:rPr>
                <w:b w:val="0"/>
                <w:i w:val="0"/>
              </w:rPr>
              <w:t xml:space="preserve"> </w:t>
            </w:r>
          </w:p>
        </w:tc>
        <w:tc>
          <w:tcPr>
            <w:tcW w:type="dxa" w:w="1440"/>
          </w:tcPr>
          <w:p>
            <w:r>
              <w:rPr>
                <w:b w:val="0"/>
                <w:i w:val="0"/>
              </w:rPr>
              <w:br/>
            </w:r>
            <w:r>
              <w:rPr>
                <w:b w:val="0"/>
                <w:i/>
              </w:rPr>
              <w:t>ĐVT: triệu đồng</w:t>
            </w:r>
          </w:p>
        </w:tc>
      </w:tr>
    </w:tbl>
    <w:p>
      <w:r>
        <w:rPr>
          <w:b w:val="0"/>
          <w:i w:val="0"/>
        </w:rPr>
        <w:t>Phụ lục số 02</w:t>
      </w:r>
    </w:p>
    <w:p>
      <w:r>
        <w:rPr>
          <w:b/>
          <w:i w:val="0"/>
        </w:rPr>
        <w:t>DỰ TOÁN CHI NGÂN SÁCH ĐỊA PHƯƠNG NĂM 2014 (ĐIỀU CHỈNH)</w:t>
      </w:r>
    </w:p>
    <w:p>
      <w:r>
        <w:rPr>
          <w:b w:val="0"/>
          <w:i/>
        </w:rPr>
        <w:t>(Kèm theo Nghị quyết số 02/2014/NQ-HĐND ngày 10/7/2014 của HĐND tỉnh Khóa XI)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p>
        </w:tc>
        <w:tc>
          <w:tcPr>
            <w:tcW w:type="dxa" w:w="960"/>
          </w:tcPr>
          <w:p>
            <w:r>
              <w:rPr>
                <w:b w:val="0"/>
                <w:i w:val="0"/>
              </w:rPr>
              <w:br/>
            </w:r>
            <w:r>
              <w:rPr>
                <w:b w:val="0"/>
                <w:i/>
              </w:rPr>
              <w:t>ĐVT: triệu đồng</w:t>
            </w:r>
          </w:p>
        </w:tc>
        <w:tc>
          <w:tcPr>
            <w:tcW w:type="dxa" w:w="960"/>
          </w:tcPr>
          <w:p>
            <w:r>
              <w:rPr>
                <w:b w:val="0"/>
                <w:i w:val="0"/>
              </w:rPr>
              <w:t xml:space="preserve"> </w:t>
            </w:r>
          </w:p>
        </w:tc>
      </w:tr>
    </w:tbl>
    <w:p>
      <w:r>
        <w:rPr>
          <w:b w:val="0"/>
          <w:i w:val="0"/>
        </w:rPr>
        <w:t>Phụ lục 03</w:t>
      </w:r>
    </w:p>
    <w:p>
      <w:r>
        <w:rPr>
          <w:b/>
          <w:i w:val="0"/>
        </w:rPr>
        <w:t>BỔ SUNG TỔNG NGUỒN VỐN ĐTPT NĂM 2014 VÀ PHÂN BỔ CHI TIẾT CHO CÁC DANH MỤC CÔNG TRÌNH</w:t>
      </w:r>
    </w:p>
    <w:p>
      <w:r>
        <w:rPr>
          <w:b w:val="0"/>
          <w:i/>
        </w:rPr>
        <w:t>(Kèm theo Nghị quyết số 02/2014/NQ-HĐND ngày 10/7/2014 của HĐND tỉnh Khóa XI)</w:t>
      </w:r>
    </w:p>
    <w:p>
      <w:r>
        <w:rPr>
          <w:b w:val="0"/>
          <w:i/>
        </w:rPr>
        <w:t>ĐVT: 1.000 đ</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Danh mục công trình</w:t>
            </w:r>
          </w:p>
        </w:tc>
        <w:tc>
          <w:tcPr>
            <w:tcW w:type="dxa" w:w="1080"/>
          </w:tcPr>
          <w:p>
            <w:r>
              <w:rPr>
                <w:b w:val="0"/>
                <w:i w:val="0"/>
              </w:rPr>
              <w:br/>
            </w:r>
            <w:r>
              <w:rPr>
                <w:b/>
                <w:i w:val="0"/>
              </w:rPr>
              <w:t xml:space="preserve">Quyết định phê duyệt dự án; ngày/tháng/năm </w:t>
            </w:r>
          </w:p>
        </w:tc>
        <w:tc>
          <w:tcPr>
            <w:tcW w:type="dxa" w:w="1080"/>
          </w:tcPr>
          <w:p>
            <w:r>
              <w:rPr>
                <w:b w:val="0"/>
                <w:i w:val="0"/>
              </w:rPr>
              <w:br/>
            </w:r>
            <w:r>
              <w:rPr>
                <w:b/>
                <w:i w:val="0"/>
              </w:rPr>
              <w:t>Tổng mức đầu tư</w:t>
            </w:r>
          </w:p>
        </w:tc>
        <w:tc>
          <w:tcPr>
            <w:tcW w:type="dxa" w:w="1080"/>
          </w:tcPr>
          <w:p>
            <w:r>
              <w:rPr>
                <w:b w:val="0"/>
                <w:i w:val="0"/>
              </w:rPr>
              <w:br/>
            </w:r>
            <w:r>
              <w:rPr>
                <w:b/>
                <w:i w:val="0"/>
              </w:rPr>
              <w:t>Kế hoạch vốn đã bố trí đến hết năm 2013</w:t>
            </w:r>
          </w:p>
        </w:tc>
        <w:tc>
          <w:tcPr>
            <w:tcW w:type="dxa" w:w="1080"/>
          </w:tcPr>
          <w:p>
            <w:r>
              <w:rPr>
                <w:b w:val="0"/>
                <w:i w:val="0"/>
              </w:rPr>
              <w:br/>
            </w:r>
            <w:r>
              <w:rPr>
                <w:b/>
                <w:i w:val="0"/>
              </w:rPr>
              <w:t xml:space="preserve">Kế hoạch vốn đã bố trí trong năm 2014 </w:t>
            </w:r>
          </w:p>
        </w:tc>
        <w:tc>
          <w:tcPr>
            <w:tcW w:type="dxa" w:w="1080"/>
          </w:tcPr>
          <w:p>
            <w:r>
              <w:rPr>
                <w:b w:val="0"/>
                <w:i w:val="0"/>
              </w:rPr>
              <w:br/>
            </w:r>
            <w:r>
              <w:rPr>
                <w:b/>
                <w:i w:val="0"/>
              </w:rPr>
              <w:t>Kế hoạch vốn bổ sung năm 2014</w:t>
            </w:r>
          </w:p>
        </w:tc>
        <w:tc>
          <w:tcPr>
            <w:tcW w:type="dxa" w:w="1080"/>
          </w:tcPr>
          <w:p>
            <w:r>
              <w:rPr>
                <w:b w:val="0"/>
                <w:i w:val="0"/>
              </w:rPr>
              <w:br/>
            </w:r>
            <w:r>
              <w:rPr>
                <w:b/>
                <w:i w:val="0"/>
              </w:rPr>
              <w:t>Ghi chú</w:t>
            </w:r>
          </w:p>
        </w:tc>
      </w:tr>
    </w:tbl>
    <w:p>
      <w:r>
        <w:rPr>
          <w:b w:val="0"/>
          <w:i w:val="0"/>
        </w:rPr>
        <w:t>Phụ lục 04</w:t>
      </w:r>
    </w:p>
    <w:p>
      <w:r>
        <w:rPr>
          <w:b/>
          <w:i w:val="0"/>
        </w:rPr>
        <w:t>ĐIỀU CHỈNH KẾ HOẠCH ĐẦU TƯ PHÁT TRIỂN 6 THÁNG CUỐI NĂM 2014</w:t>
      </w:r>
    </w:p>
    <w:p>
      <w:r>
        <w:rPr>
          <w:b w:val="0"/>
          <w:i/>
        </w:rPr>
        <w:t>(Kèm theo Nghị quyết số 02/2014/NQ-HĐND ngày 10/7/2014 của HĐND tỉnh Khóa XI)</w:t>
      </w:r>
    </w:p>
    <w:p>
      <w:r>
        <w:rPr>
          <w:b w:val="0"/>
          <w:i/>
        </w:rPr>
        <w:t>Đơn vị tính: 1.000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Danh mục</w:t>
            </w:r>
          </w:p>
        </w:tc>
        <w:tc>
          <w:tcPr>
            <w:tcW w:type="dxa" w:w="1080"/>
          </w:tcPr>
          <w:p>
            <w:r>
              <w:rPr>
                <w:b w:val="0"/>
                <w:i w:val="0"/>
              </w:rPr>
              <w:br/>
            </w:r>
            <w:r>
              <w:rPr>
                <w:b/>
                <w:i w:val="0"/>
              </w:rPr>
              <w:t>Địa điểm xây dựng</w:t>
            </w:r>
          </w:p>
        </w:tc>
        <w:tc>
          <w:tcPr>
            <w:tcW w:type="dxa" w:w="1080"/>
          </w:tcPr>
          <w:p>
            <w:r>
              <w:rPr>
                <w:b w:val="0"/>
                <w:i w:val="0"/>
              </w:rPr>
              <w:br/>
            </w:r>
            <w:r>
              <w:rPr>
                <w:b/>
                <w:i w:val="0"/>
              </w:rPr>
              <w:t>Kế hoạch</w:t>
            </w:r>
            <w:r>
              <w:br/>
            </w:r>
            <w:r>
              <w:rPr>
                <w:b/>
                <w:i w:val="0"/>
              </w:rPr>
              <w:br/>
              <w:t xml:space="preserve">          năm 2014</w:t>
            </w:r>
          </w:p>
        </w:tc>
        <w:tc>
          <w:tcPr>
            <w:tcW w:type="dxa" w:w="1080"/>
          </w:tcPr>
          <w:p>
            <w:r>
              <w:rPr>
                <w:b w:val="0"/>
                <w:i w:val="0"/>
              </w:rPr>
              <w:br/>
            </w:r>
            <w:r>
              <w:rPr>
                <w:b/>
                <w:i w:val="0"/>
              </w:rPr>
              <w:t>Tăng (+)/</w:t>
            </w:r>
            <w:r>
              <w:br/>
            </w:r>
            <w:r>
              <w:rPr>
                <w:b/>
                <w:i w:val="0"/>
              </w:rPr>
              <w:br/>
              <w:t xml:space="preserve">          giảm (-)</w:t>
            </w:r>
          </w:p>
        </w:tc>
        <w:tc>
          <w:tcPr>
            <w:tcW w:type="dxa" w:w="1080"/>
          </w:tcPr>
          <w:p>
            <w:r>
              <w:rPr>
                <w:b w:val="0"/>
                <w:i w:val="0"/>
              </w:rPr>
              <w:br/>
            </w:r>
            <w:r>
              <w:rPr>
                <w:b/>
                <w:i w:val="0"/>
              </w:rPr>
              <w:t>Kế hoạch</w:t>
            </w:r>
            <w:r>
              <w:br/>
            </w:r>
            <w:r>
              <w:rPr>
                <w:b/>
                <w:i w:val="0"/>
              </w:rPr>
              <w:br/>
              <w:t xml:space="preserve">          sau khi điều chỉnh, bổ sung</w:t>
            </w:r>
          </w:p>
        </w:tc>
        <w:tc>
          <w:tcPr>
            <w:tcW w:type="dxa" w:w="1080"/>
          </w:tcPr>
          <w:p>
            <w:r>
              <w:rPr>
                <w:b w:val="0"/>
                <w:i w:val="0"/>
              </w:rPr>
              <w:br/>
            </w:r>
            <w:r>
              <w:rPr>
                <w:b/>
                <w:i w:val="0"/>
              </w:rPr>
              <w:t>Chủ</w:t>
            </w:r>
            <w:r>
              <w:br/>
            </w:r>
            <w:r>
              <w:rPr>
                <w:b/>
                <w:i w:val="0"/>
              </w:rPr>
              <w:br/>
              <w:t xml:space="preserve">          đầu tư</w:t>
            </w:r>
          </w:p>
        </w:tc>
        <w:tc>
          <w:tcPr>
            <w:tcW w:type="dxa" w:w="1080"/>
          </w:tcPr>
          <w:p>
            <w:r>
              <w:rPr>
                <w:b w:val="0"/>
                <w:i w:val="0"/>
              </w:rPr>
              <w:br/>
            </w:r>
            <w:r>
              <w:rPr>
                <w:b/>
                <w:i w:val="0"/>
              </w:rPr>
              <w:t>Ghi chú</w:t>
            </w:r>
          </w:p>
        </w:tc>
      </w:tr>
    </w:tbl>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Thanh Tùng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Thanh Tùng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Thanh Tùng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Thanh Tùng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