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02/CT-UBND Về việc phòng chống dịch bệnh trên đàn gia súc, gia cầm trong dịp trước, trong và sau Tết Nguyên đán 2010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THANH HOÁ</w:t>
            </w:r>
          </w:p>
        </w:tc>
        <w:tc>
          <w:tcPr>
            <w:tcW w:type="dxa" w:w="4320"/>
          </w:tcPr>
          <w:p>
            <w:r>
              <w:rPr>
                <w:b/>
                <w:i w:val="0"/>
              </w:rPr>
              <w:t>CỘNG HOÀ XÃ HỘI CHỦ NGHĨA VIỆT NAM</w:t>
            </w:r>
            <w:r>
              <w:br/>
            </w:r>
            <w:r>
              <w:rPr>
                <w:b/>
                <w:i w:val="0"/>
              </w:rPr>
              <w:t>Độc lập - Tự do - Hạnh phúc</w:t>
            </w:r>
          </w:p>
        </w:tc>
      </w:tr>
    </w:tbl>
    <w:p>
      <w:r>
        <w:rPr>
          <w:b/>
          <w:i w:val="0"/>
        </w:rPr>
        <w:t>CHỈ THỊ</w:t>
      </w:r>
    </w:p>
    <w:p>
      <w:r>
        <w:rPr>
          <w:b/>
          <w:i w:val="0"/>
        </w:rPr>
        <w:t xml:space="preserve">Về việc phòng chống dịch bệnh trên đàn gia súc, gia cầm trong </w:t>
      </w:r>
    </w:p>
    <w:p>
      <w:r>
        <w:rPr>
          <w:b/>
          <w:i w:val="0"/>
        </w:rPr>
        <w:t>dịp trước, trong và sau Tết Nguyên đán 2010</w:t>
      </w:r>
    </w:p>
    <w:p>
      <w:r>
        <w:rPr>
          <w:b/>
          <w:i w:val="0"/>
        </w:rPr>
        <w:t>_____________________</w:t>
      </w:r>
    </w:p>
    <w:p>
      <w:pPr>
        <w:jc w:val="both"/>
      </w:pPr>
      <w:r>
        <w:rPr>
          <w:b w:val="0"/>
          <w:i w:val="0"/>
        </w:rPr>
        <w:t>Thời gian qua, trên địa bàn các huyện Bá Thước, Ngọc Lặc, Mường Lát đã xảy ra dịch lở mồm long móng gia súc. Gần đây, tình hình dịch bệnh đang có chiều hướng diễn biến phức tạp, dịch cúm gia cầm đã tái bùng phát trở lại tại các tỉnh Cao Bằng, Thái Nguyên và Cà Mau; dịch lở mồm long móng (LMLM) xảy ra ở 6 tỉnh, chưa được dập tắt, đang có chiều hướng lây lan mạnh. Mặt khác, dự báo trong thời gian tới điều kiện mưa phùn, giá rét, ẩm độ cao, việc vận chuyển, buôn bán, giết mổ, tiêu thụ gia súc, gia cầm trong dịp Tết Nguyên đán tăng đột biến là những điều kiện rất thuận lợi cho dịch bệnh, đặc biệt là bệnh cúm gia cầm, bệnh LMLM phát sinh, phát triển và lây lan thành dịch. Để chủ động ngăn chặn, phòng tránh có hiệu quả, bảo vệ đàn gia súc, gia cầm, giảm thiểu thiệt hại cho người chăn nuôi. Chủ tịch UBND tỉnh yêu cầu Sở Nông nghiệp và Phát triển nông thôn, UBND các huyện, thị xã, thành phố (huyện), các sở, ban, ngành cấp tỉnh theo chức năng, nhiệm vụ được giao tập trung triển khai thực hiện nghiêm chỉ đạo của Bộ Nông nghiệp và Phát triển nông thôn tại Công điện số 02/CĐ-BNN-TY ngày 14/01/2010, các nội dung chỉ đạo, hướng dẫn của UBND tỉnh, Sở Nông nghiệp và Phát triển nông thôn, cơ quan chuyên môn của tỉnh. Đồng thời thực hiện triệt để một số công việc cụ thể sau đây:</w:t>
      </w:r>
    </w:p>
    <w:p>
      <w:pPr>
        <w:jc w:val="both"/>
      </w:pPr>
      <w:r>
        <w:rPr>
          <w:b w:val="0"/>
          <w:i w:val="0"/>
        </w:rPr>
        <w:t>1. Đối với các huyện đang xảy ra dịch bệnh:</w:t>
      </w:r>
    </w:p>
    <w:p>
      <w:pPr>
        <w:jc w:val="both"/>
      </w:pPr>
      <w:r>
        <w:rPr>
          <w:b w:val="0"/>
          <w:i w:val="0"/>
        </w:rPr>
        <w:t>- Thực hiện tiêu hủy triệt để gia súc, gia cầm bị bệnh khi còn ở diện hẹp, theo đúng qui định hiện hành của pháp luật và hướng dẫn của cơ quan chuyên môn; khoanh vùng dịch, lập các chốt kiểm dịch tạm thời, cử các lực lượng Thú y, Công an, Quản lý thị trường, cán bộ địa phương thường trực 24/24 giờ trong ngày; lập biển báo nơi có dịch, hạn chế người, phương tiện ra vào vùng dịch. Nghiêm cấm triệt để việc đưa gia súc, gia cầm (đối với loại gia súc, gia cầm đã xảy ra dịch), sản phẩm gia súc, gia cầm chưa qua xử lý, chế biến chín ra, vào vùng dịch khi chưa công bố hết dịch.</w:t>
      </w:r>
    </w:p>
    <w:p>
      <w:pPr>
        <w:jc w:val="both"/>
      </w:pPr>
      <w:r>
        <w:rPr>
          <w:b w:val="0"/>
          <w:i w:val="0"/>
        </w:rPr>
        <w:t>- Tiến hành tổng vệ sinh, tiêu độc, khử trùng trên phạm vi toàn xã có dịch; nhất là tại các khu vực chăn nuôi, lối ra vào vùng dịch, khu vực tiêu huỷ, chôn lấp gia súc, gia cầm bị bệnh.</w:t>
      </w:r>
    </w:p>
    <w:p>
      <w:pPr>
        <w:jc w:val="both"/>
      </w:pPr>
      <w:r>
        <w:rPr>
          <w:b w:val="0"/>
          <w:i w:val="0"/>
        </w:rPr>
        <w:t>- Tiêm phòng triệt để cho đàn gia súc, gia cầm thuộc đối tượng, khu vực phải tiêm phòng theo hướng dẫn của cơ quan Thú y. Thực hiện triệt để việc nuôi nhốt gia súc bị bệnh.</w:t>
      </w:r>
    </w:p>
    <w:p>
      <w:pPr>
        <w:jc w:val="both"/>
      </w:pPr>
      <w:r>
        <w:rPr>
          <w:b w:val="0"/>
          <w:i w:val="0"/>
        </w:rPr>
        <w:t>- Chấn chỉnh ngay hoạt động của Ban chỉ đạo phòng chống dịch các cấp huyện, xã; phân công lãnh đạo, cán bộ xuống vùng dịch chỉ đạo; tranh thủ sự lãnh đạo của cấp uỷ, để triển khai đồng bộ các biện pháp chống dịch.</w:t>
      </w:r>
    </w:p>
    <w:p>
      <w:pPr>
        <w:jc w:val="both"/>
      </w:pPr>
      <w:r>
        <w:rPr>
          <w:b w:val="0"/>
          <w:i w:val="0"/>
        </w:rPr>
        <w:t>2. Đối với các huyện chưa có dịch:</w:t>
      </w:r>
    </w:p>
    <w:p>
      <w:pPr>
        <w:jc w:val="both"/>
      </w:pPr>
      <w:r>
        <w:rPr>
          <w:b w:val="0"/>
          <w:i w:val="0"/>
        </w:rPr>
        <w:t>- Thực hiện triệt để công tác tiêm phòng cho đàn gia súc, gia cầm trên địa bàn quản lý; thực hiện tốt công tác vệ sinh chuồng trại; tiêu độc, khử trùng bằng vôi bột, hoá chất tại các cơ sở chăn nuôi, nơi buôn bán, giết mổ gia súc, gia cầm tập trung, vùng có nguy cơ dịch bệnh cao.</w:t>
      </w:r>
    </w:p>
    <w:p>
      <w:pPr>
        <w:jc w:val="both"/>
      </w:pPr>
      <w:r>
        <w:rPr>
          <w:b w:val="0"/>
          <w:i w:val="0"/>
        </w:rPr>
        <w:t>- Chủ động sử dụng lực lượng Thú y, Công an, Quản lý thị trường trên địa bàn để kiểm soát chặt chẽ việc vận chuyển gia súc, gia cầm ra vào địa bàn huyện, nhất là trong dịp Tết Nguyên đán; xử lý nghiêm theo qui định pháp luật đối với các trường hợp vi phạm.</w:t>
      </w:r>
    </w:p>
    <w:p>
      <w:pPr>
        <w:jc w:val="both"/>
      </w:pPr>
      <w:r>
        <w:rPr>
          <w:b w:val="0"/>
          <w:i w:val="0"/>
        </w:rPr>
        <w:t>- Các hộ chăn nuôi, các chủ trại chăn nuôi tập trung chủ động tiêm phòng dịch bệnh cho vật nuôi của mình theo qui định của Pháp lệnh Thú y; thường xuyên làm tốt công tác vệ sinh chuồng trại, tiêu độc khử trùng; thực hiện việc chăm sóc nuôi dưỡng, nâng cao sức đề kháng cho vật nuôi; tự giác báo dịch khi xảy ra dịch; thực hiện nghiêm chỉ đạo, hướng dẫn của cơ quan thú y.</w:t>
      </w:r>
    </w:p>
    <w:p>
      <w:pPr>
        <w:jc w:val="both"/>
      </w:pPr>
      <w:r>
        <w:rPr>
          <w:b w:val="0"/>
          <w:i w:val="0"/>
        </w:rPr>
        <w:t>Huyện nào không thực hiện triệt để các biện pháp phòng chống dịch, đặc biệt là công tác tiêm phòng không đạt tỷ lệ, kế hoạch, để dịch bệnh xảy ra trên địa bàn quản lý; Chủ tịch UBND huyện đó phải chịu trách nhiệm trước Chủ tịch UBND tỉnh.</w:t>
      </w:r>
    </w:p>
    <w:p>
      <w:pPr>
        <w:jc w:val="both"/>
      </w:pPr>
      <w:r>
        <w:rPr>
          <w:b w:val="0"/>
          <w:i w:val="0"/>
        </w:rPr>
        <w:t>3. Yêu cầu Sở Nông nghiệp và Phát triển nông thôn: Chỉ đạo Chi cục Thú y, phối hợp với Ban chỉ đạo phòng chống dịch các huyện, theo dõi chặt chẽ diễn biến, nắm chắc tình hình dịch bệnh, kịp thời báo cáo UBND tỉnh; hướng dẫn, có biện pháp chỉ đạo quyết liệt để nhanh chóng bao vây, khống chế và dập tắt các ổ dịch ngay từ khi mới phát sinh.</w:t>
      </w:r>
    </w:p>
    <w:p>
      <w:pPr>
        <w:jc w:val="both"/>
      </w:pPr>
      <w:r>
        <w:rPr>
          <w:b w:val="0"/>
          <w:i w:val="0"/>
        </w:rPr>
        <w:t>4. Sở Công thương, Sở Y tế theo chức năng, nhiệm vụ được giao chỉ đạo các Chi cục, phối hợp với lực lượng Thú y, chính quyền cơ sở, Công an khu vực kiểm soát chặt chẽ việc l­ưu thông, buôn bán, giết mổ gia súc, gia cầm, công tác vệ sinh, an toàn thực phẩm trên địa bàn quản lý, nhất là ở các tụ điểm thu gom, chợ buôn bán gia súc, gia cầm.</w:t>
      </w:r>
    </w:p>
    <w:p>
      <w:pPr>
        <w:jc w:val="both"/>
      </w:pPr>
      <w:r>
        <w:rPr>
          <w:b w:val="0"/>
          <w:i w:val="0"/>
        </w:rPr>
        <w:t>5. Đề nghị đồng chí Bí thư cấp Uỷ các cấp quan tâm công tác lãnh đạo, chỉ đạo và đề nghị các tổ chức đoàn thể chính trị, xã hội trên địa bàn tỉnh tăng cường công tác vận động nhân dân, đoàn viên, hội viên, cùng với các cấp chính quyền tích cực tham gia công tác phòng chống dịch bệnh trên địa bàn.</w:t>
      </w:r>
    </w:p>
    <w:p>
      <w:pPr>
        <w:jc w:val="both"/>
      </w:pPr>
      <w:r>
        <w:rPr>
          <w:b w:val="0"/>
          <w:i w:val="0"/>
        </w:rPr>
        <w:t>6. Đài Phát thanh và Truyền hình tỉnh, Báo Thanh Hoá và các cơ quan thông tin đại chúng trên địa bàn tỉnh tổ chức tuyên truyền sâu rộng, kịp thời về tình hình dịch bệnh, nguy cơ tác hại và các chủ trương, biện pháp chỉ đạo của Chính phủ, Bộ, ngành Trung ương, UBND tỉnh, các ngành chức năng có liên quan trong việc phòng, chống dịch cho đàn gia súc, gia cầm.</w:t>
      </w:r>
    </w:p>
    <w:p>
      <w:pPr>
        <w:jc w:val="both"/>
      </w:pPr>
      <w:r>
        <w:rPr>
          <w:b w:val="0"/>
          <w:i w:val="0"/>
        </w:rPr>
        <w:t>Giao Sở Nông nghiệp và Phát triển nông thôn, đôn đốc, theo dõi, tổng hợp và định kỳ mỗi tuần một lần báo cáo tình hình thực hiện các nội dung chỉ đạo nêu trên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Nơi nhận:</w:t>
            </w:r>
            <w:r>
              <w:rPr>
                <w:b w:val="0"/>
                <w:i w:val="0"/>
              </w:rPr>
              <w:br/>
            </w:r>
            <w:r>
              <w:rPr>
                <w:b w:val="0"/>
                <w:i w:val="0"/>
              </w:rPr>
              <w:br/>
            </w:r>
            <w:r>
              <w:rPr>
                <w:b w:val="0"/>
                <w:i w:val="0"/>
              </w:rPr>
              <w:br/>
            </w:r>
            <w:r>
              <w:rPr>
                <w:b w:val="0"/>
                <w:i w:val="0"/>
              </w:rPr>
              <w:t>- TT Tỉnh uỷ, HĐND tỉnh (để báo cáo);</w:t>
            </w:r>
            <w:r>
              <w:rPr>
                <w:b w:val="0"/>
                <w:i w:val="0"/>
              </w:rPr>
              <w:br/>
            </w:r>
            <w:r>
              <w:rPr>
                <w:b w:val="0"/>
                <w:i w:val="0"/>
              </w:rPr>
              <w:br/>
            </w:r>
            <w:r>
              <w:rPr>
                <w:b w:val="0"/>
                <w:i w:val="0"/>
              </w:rPr>
              <w:br/>
            </w:r>
            <w:r>
              <w:rPr>
                <w:b w:val="0"/>
                <w:i w:val="0"/>
              </w:rPr>
              <w:t>- Chủ tịch, Phó Chủ tịch UBND tỉnh;</w:t>
            </w:r>
            <w:r>
              <w:rPr>
                <w:b w:val="0"/>
                <w:i w:val="0"/>
              </w:rPr>
              <w:br/>
            </w:r>
            <w:r>
              <w:rPr>
                <w:b w:val="0"/>
                <w:i w:val="0"/>
              </w:rPr>
              <w:br/>
            </w:r>
            <w:r>
              <w:rPr>
                <w:b w:val="0"/>
                <w:i w:val="0"/>
              </w:rPr>
              <w:br/>
            </w:r>
            <w:r>
              <w:rPr>
                <w:b w:val="0"/>
                <w:i w:val="0"/>
              </w:rPr>
              <w:t>- Các tổ chức đoàn thể, CTXH cấp tỉnh (để P/H);</w:t>
            </w:r>
            <w:r>
              <w:rPr>
                <w:b w:val="0"/>
                <w:i w:val="0"/>
              </w:rPr>
              <w:br/>
            </w:r>
            <w:r>
              <w:rPr>
                <w:b w:val="0"/>
                <w:i w:val="0"/>
              </w:rPr>
              <w:br/>
            </w:r>
            <w:r>
              <w:rPr>
                <w:b w:val="0"/>
                <w:i w:val="0"/>
              </w:rPr>
              <w:br/>
            </w:r>
            <w:r>
              <w:rPr>
                <w:b w:val="0"/>
                <w:i w:val="0"/>
              </w:rPr>
              <w:t>- Văn phòng UBND tỉnh;</w:t>
            </w:r>
            <w:r>
              <w:rPr>
                <w:b w:val="0"/>
                <w:i w:val="0"/>
              </w:rPr>
              <w:br/>
            </w:r>
            <w:r>
              <w:rPr>
                <w:b w:val="0"/>
                <w:i w:val="0"/>
              </w:rPr>
              <w:br/>
            </w:r>
            <w:r>
              <w:rPr>
                <w:b w:val="0"/>
                <w:i w:val="0"/>
              </w:rPr>
              <w:br/>
            </w:r>
            <w:r>
              <w:rPr>
                <w:b w:val="0"/>
                <w:i w:val="0"/>
              </w:rPr>
              <w:t>- Đ/c Bí thư các huyện, TX, TP (để P/H);</w:t>
            </w:r>
            <w:r>
              <w:rPr>
                <w:b w:val="0"/>
                <w:i w:val="0"/>
              </w:rPr>
              <w:br/>
            </w:r>
            <w:r>
              <w:rPr>
                <w:b w:val="0"/>
                <w:i w:val="0"/>
              </w:rPr>
              <w:br/>
            </w:r>
            <w:r>
              <w:rPr>
                <w:b w:val="0"/>
                <w:i w:val="0"/>
              </w:rPr>
              <w:br/>
            </w:r>
            <w:r>
              <w:rPr>
                <w:b w:val="0"/>
                <w:i w:val="0"/>
              </w:rPr>
              <w:t>- CT UBND các huyện, thị xã, TP;</w:t>
            </w:r>
            <w:r>
              <w:rPr>
                <w:b w:val="0"/>
                <w:i w:val="0"/>
              </w:rPr>
              <w:br/>
            </w:r>
            <w:r>
              <w:rPr>
                <w:b w:val="0"/>
                <w:i w:val="0"/>
              </w:rPr>
              <w:br/>
            </w:r>
            <w:r>
              <w:rPr>
                <w:b w:val="0"/>
                <w:i w:val="0"/>
              </w:rPr>
              <w:br/>
            </w:r>
            <w:r>
              <w:rPr>
                <w:b w:val="0"/>
                <w:i w:val="0"/>
              </w:rPr>
              <w:t>- Các sở, ban, ngành, đơn vị có liên quan;</w:t>
            </w:r>
            <w:r>
              <w:rPr>
                <w:b w:val="0"/>
                <w:i w:val="0"/>
              </w:rPr>
              <w:br/>
            </w:r>
            <w:r>
              <w:rPr>
                <w:b w:val="0"/>
                <w:i w:val="0"/>
              </w:rPr>
              <w:br/>
            </w:r>
            <w:r>
              <w:rPr>
                <w:b w:val="0"/>
                <w:i w:val="0"/>
              </w:rPr>
              <w:br/>
            </w:r>
            <w:r>
              <w:rPr>
                <w:b w:val="0"/>
                <w:i w:val="0"/>
              </w:rPr>
              <w:t xml:space="preserve">- Lưu: VT, NN (2). </w:t>
            </w:r>
            <w:r>
              <w:rPr>
                <w:b w:val="0"/>
                <w:i w:val="0"/>
              </w:rPr>
              <w:br/>
            </w:r>
          </w:p>
        </w:tc>
        <w:tc>
          <w:tcPr>
            <w:tcW w:type="dxa" w:w="4320"/>
          </w:tcPr>
          <w:p>
            <w:r>
              <w:rPr>
                <w:b w:val="0"/>
                <w:i w:val="0"/>
              </w:rPr>
              <w:br/>
            </w:r>
            <w:r>
              <w:rPr>
                <w:b w:val="0"/>
                <w:i w:val="0"/>
              </w:rPr>
              <w:br/>
            </w:r>
            <w:r>
              <w:rPr>
                <w:b/>
                <w:i w:val="0"/>
              </w:rPr>
              <w:t>KT. CHỦ TỊCH</w:t>
            </w:r>
            <w:r>
              <w:rPr>
                <w:b w:val="0"/>
                <w:i w:val="0"/>
              </w:rPr>
              <w:br/>
            </w:r>
            <w:r>
              <w:rPr>
                <w:b w:val="0"/>
                <w:i w:val="0"/>
              </w:rPr>
              <w:br/>
            </w:r>
            <w:r>
              <w:rPr>
                <w:b w:val="0"/>
                <w:i w:val="0"/>
              </w:rPr>
              <w:br/>
            </w:r>
            <w:r>
              <w:rPr>
                <w:b/>
                <w:i w:val="0"/>
              </w:rPr>
              <w:t>PHÓ CHỦ TỊCH</w:t>
            </w:r>
            <w:r>
              <w:rPr>
                <w:b w:val="0"/>
                <w:i w:val="0"/>
              </w:rPr>
              <w:br/>
            </w:r>
            <w:r>
              <w:rPr>
                <w:b w:val="0"/>
                <w:i w:val="0"/>
              </w:rPr>
              <w:br/>
            </w:r>
            <w:r>
              <w:rPr>
                <w:b w:val="0"/>
                <w:i w:val="0"/>
              </w:rPr>
              <w:br/>
            </w:r>
            <w:r>
              <w:rPr>
                <w:b w:val="0"/>
                <w:i w:val="0"/>
              </w:rPr>
              <w:br/>
            </w:r>
            <w:r>
              <w:rPr>
                <w:b w:val="0"/>
                <w:i w:val="0"/>
              </w:rPr>
              <w:br/>
            </w:r>
            <w:r>
              <w:rPr>
                <w:b w:val="0"/>
                <w:i w:val="0"/>
              </w:rPr>
              <w:t xml:space="preserve"> (Đã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Trịnh Văn Chiến</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