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02/CT-UB V/v lập lại trật tự an toàn giao thong và quản lý đô thị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ĐÀ NẴNG</w:t>
            </w:r>
            <w:r>
              <w:rPr>
                <w:b w:val="0"/>
                <w:i w:val="0"/>
              </w:rPr>
              <w:br/>
            </w:r>
            <w:r>
              <w:rPr>
                <w:b w:val="0"/>
                <w:i w:val="0"/>
              </w:rPr>
              <w:br/>
            </w:r>
            <w:r>
              <w:rPr>
                <w:b w:val="0"/>
                <w:i w:val="0"/>
              </w:rPr>
              <w:t xml:space="preserve"> </w:t>
            </w:r>
            <w:r>
              <w:rPr>
                <w:b w:val="0"/>
                <w:i w:val="0"/>
              </w:rPr>
              <w:t>Số: 02/CT-UB</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t xml:space="preserve"> </w:t>
            </w:r>
            <w:r>
              <w:rPr>
                <w:b w:val="0"/>
                <w:i/>
              </w:rPr>
              <w:t xml:space="preserve">Đà Nẵng, ngày </w:t>
            </w:r>
            <w:r>
              <w:rPr>
                <w:b w:val="0"/>
                <w:i/>
              </w:rPr>
              <w:t>20</w:t>
            </w:r>
            <w:r>
              <w:rPr>
                <w:b w:val="0"/>
                <w:i/>
              </w:rPr>
              <w:t xml:space="preserve"> tháng </w:t>
            </w:r>
            <w:r>
              <w:rPr>
                <w:b w:val="0"/>
                <w:i/>
              </w:rPr>
              <w:t>01</w:t>
            </w:r>
            <w:r>
              <w:rPr>
                <w:b w:val="0"/>
                <w:i/>
              </w:rPr>
              <w:t xml:space="preserve"> năm </w:t>
            </w:r>
            <w:r>
              <w:rPr>
                <w:b w:val="0"/>
                <w:i/>
              </w:rPr>
              <w:t>1997</w:t>
            </w:r>
          </w:p>
        </w:tc>
      </w:tr>
    </w:tbl>
    <w:p>
      <w:pPr>
        <w:jc w:val="center"/>
      </w:pPr>
      <w:r>
        <w:rPr>
          <w:b/>
          <w:i w:val="0"/>
        </w:rPr>
        <w:t>CHỈ THỊ</w:t>
      </w:r>
    </w:p>
    <w:p>
      <w:pPr>
        <w:jc w:val="center"/>
      </w:pPr>
      <w:r>
        <w:rPr>
          <w:b/>
          <w:i w:val="0"/>
        </w:rPr>
        <w:t>V/v lập lại trật tự an toàn giao thông và quản lý đô thị</w:t>
      </w:r>
    </w:p>
    <w:p>
      <w:pPr>
        <w:jc w:val="both"/>
      </w:pPr>
      <w:r>
        <w:rPr>
          <w:b w:val="0"/>
          <w:i w:val="0"/>
        </w:rPr>
        <w:t>Nhằm đảm bảo trật tự an toàn giao thông và mỹ quan đô thị, tạo điều kiện thuận lợi cho nhân dân đón xuân Đinh Sửu và nghiêm chỉnh chấp hành Nghị định 36/CP ngày 29-5-1995 của Chính phủ, UBND lâm thời thành phố Đà Nẵng chỉ thị :Trưởng Ban chỉ đạo Nghị định 36/CP, Giám đốc Công an thành phố, Giám đốc Sở Văn hóa-thông tin, Giám đốc Sở Giao thông công chính, Giám đốc Sở Thương mại, Chánh Văn phòng UBND thành phố, Giám đốc Công ty Quản lý chợ, Công ty Môi trường đô thị, Công ty Công viên Cây xanh, Chủ tịch UBND huyện Hòa Vang, Chủ tịch UBND các xã, phường, đội kiểm tra quy tắc đô thị thành phố triển khai thực hiện ngay những nội dung sau đây :</w:t>
      </w:r>
    </w:p>
    <w:p>
      <w:pPr>
        <w:jc w:val="both"/>
      </w:pPr>
      <w:r>
        <w:rPr>
          <w:b w:val="0"/>
          <w:i w:val="0"/>
        </w:rPr>
        <w:t>1- Trong dịp Tết Nguyên đán Đinh Sửu thành phố tổ chức chợ hoa xuân trên Quảng trường 29-3, (đôi diện với đài tưởng niệm) do đó bắt đầu từ ngày 27-1-1997 nghiêm cấm việc bán cây cảnh kể cả tiểu cảnh, hoa và các loại hàng hóa khác trên các vỉa hè đường phố, trong khuôn viên các công sở, mặt tiền nhà các đường phố khu trung tâm; không được dùng xe kéo, xe đẩy chở hoa, cây cảnh đi bán dạo dọc các đường phố trong nội thành.</w:t>
      </w:r>
    </w:p>
    <w:p>
      <w:pPr>
        <w:jc w:val="both"/>
      </w:pPr>
      <w:r>
        <w:rPr>
          <w:b w:val="0"/>
          <w:i w:val="0"/>
        </w:rPr>
        <w:t>- Tại vườn hoa trung tâm thành phố được phép bán mai cành, đào cành và các loại cá cảnh nhưng phải lùi vào cách mép đường tối thiểu 3m (ba mét).</w:t>
      </w:r>
    </w:p>
    <w:p>
      <w:pPr>
        <w:jc w:val="both"/>
      </w:pPr>
      <w:r>
        <w:rPr>
          <w:b w:val="0"/>
          <w:i w:val="0"/>
        </w:rPr>
        <w:t>- Trên tuyến đường Trần Hưng Đạo, (đoạn từ Trần Phú đến Bạch Đằng) được phép bán các loại hoa lay ơn và các loại hoa cắm lọ khác.</w:t>
      </w:r>
    </w:p>
    <w:p>
      <w:pPr>
        <w:jc w:val="both"/>
      </w:pPr>
      <w:r>
        <w:rPr>
          <w:b w:val="0"/>
          <w:i w:val="0"/>
        </w:rPr>
        <w:t xml:space="preserve">2- Di chuyển toàn bộ bến xe buýt trên đường </w:t>
      </w:r>
      <w:r>
        <w:rPr>
          <w:b/>
          <w:i w:val="0"/>
        </w:rPr>
        <w:t>Nguyễn Thị Minh Khai</w:t>
      </w:r>
      <w:r>
        <w:rPr>
          <w:b w:val="0"/>
          <w:i w:val="0"/>
        </w:rPr>
        <w:t>, bến xe lam Vĩnh Trung lên các bến xe khách trên tuyến đường Điện Biên Phủ.</w:t>
      </w:r>
    </w:p>
    <w:p>
      <w:pPr>
        <w:jc w:val="both"/>
      </w:pPr>
      <w:r>
        <w:rPr>
          <w:b w:val="0"/>
          <w:i w:val="0"/>
        </w:rPr>
        <w:t>- Di dời toàn bộ các hộ mua bán trên vỉa hè đường Hùng Vương (phía trước chợ Vĩnh Trung) vào bên trong chợ Vĩnh Trung.</w:t>
      </w:r>
    </w:p>
    <w:p>
      <w:pPr>
        <w:jc w:val="both"/>
      </w:pPr>
      <w:r>
        <w:rPr>
          <w:b w:val="0"/>
          <w:i w:val="0"/>
        </w:rPr>
        <w:t>• Sắp xếp lại các tụ điểm mua bán thường gây ách tắc giao thông xung quanh chợ Hàn, Trung tâm Thương nghiệp Đà Nẵng, chợ Hòa Thuận, chợ Chính Gián, chợ Tam Giác... không để các hộ mua bán tràn ra lấn chiếm lòng, lề đường.</w:t>
      </w:r>
    </w:p>
    <w:p>
      <w:pPr>
        <w:jc w:val="both"/>
      </w:pPr>
      <w:r>
        <w:rPr>
          <w:b w:val="0"/>
          <w:i w:val="0"/>
        </w:rPr>
        <w:t>3- Những hành vi vi phạm Nghị định 36/CP của Chính phủ : Xe máy, xe đạp chở 3 người trở lên, những hành vi lạng lách, đi hàng ngang gây cản trở giao thông, đi ngược chiều, vượt đèn đỏ, chạy xe quá tốc độ quy định, kéo xe đua xe đều bị xử phạt nặng.</w:t>
      </w:r>
    </w:p>
    <w:p>
      <w:pPr>
        <w:jc w:val="both"/>
      </w:pPr>
      <w:r>
        <w:rPr>
          <w:b w:val="0"/>
          <w:i w:val="0"/>
        </w:rPr>
        <w:t>Tùy theo mức độ vi phạm mà xử lý hành chính hoặc tạm giữ xe chờ sau Tết Nguyên đán Đinh Sửu sẽ xử lý. Trường hợp gây hậu quả nghiêm trọng sẽ áp dụng các điều luật theo quy định.</w:t>
      </w:r>
    </w:p>
    <w:p>
      <w:pPr>
        <w:jc w:val="both"/>
      </w:pPr>
      <w:r>
        <w:rPr>
          <w:b w:val="0"/>
          <w:i w:val="0"/>
        </w:rPr>
        <w:t>4- Nghiêm cấm dịch vụ giữ xe trên tuyến đường Điện Biên Phủ (khu vực trước Công viên 29-3).</w:t>
      </w:r>
    </w:p>
    <w:p>
      <w:pPr>
        <w:jc w:val="both"/>
      </w:pPr>
      <w:r>
        <w:rPr>
          <w:b w:val="0"/>
          <w:i w:val="0"/>
        </w:rPr>
        <w:t>- Những địa điểm khác được tổ chức dịch vụ giữ xe nhưng phải niêm yết giá, đăng ký và nộp lệ phí theo quy định. Mức giá được áp dụng theo Thông báo số 39 TB/CT-AC ngày 18-1-1997 của Cục thuế thành phố Đà Nẵng (xe gắn máy 2.000 đồng/xe, xe đạp 1.000 đồng/xe thời gian áp dụng từ ngày 6-2-1997 đến 13-2-1997 sau đó thu theo quy định như trước đây) . Nếu các cá nhân hoặc tổ chức thực hiện dịch vụ giữ xe không nghiêm chỉnh chấp hành mức giá quy định sẽ bị xử phạt vi phạm hành chính và có thể bị đình chỉ dịch vụ giữ xe.</w:t>
      </w:r>
    </w:p>
    <w:p>
      <w:pPr>
        <w:jc w:val="both"/>
      </w:pPr>
      <w:r>
        <w:rPr>
          <w:b w:val="0"/>
          <w:i w:val="0"/>
        </w:rPr>
        <w:t>- Nghiêm cấm UBND xã, phường cho phép sử dụng vỉa hè vào việc giữ xe, buôn bán và thu lệ phí, UBND các phường nội thành không cho phép, không xác nhận và không đề nghị lên các cơ quan liên quan việc cấp giấy đăng ký kinh doanh kể cả kinh doanh tạm thời đối với những hộ nằm trên mặt tiên của các tuyến đường khi họ xin phép mua bán cây cảnh và các loại hoa.</w:t>
      </w:r>
    </w:p>
    <w:p>
      <w:pPr>
        <w:jc w:val="both"/>
      </w:pPr>
      <w:r>
        <w:rPr>
          <w:b w:val="0"/>
          <w:i w:val="0"/>
        </w:rPr>
        <w:t>- Nghiêm cấm các loại tàu, thuyền neo đậu dọc tuyến đường Bạch Đằng.</w:t>
      </w:r>
    </w:p>
    <w:p>
      <w:pPr>
        <w:jc w:val="both"/>
      </w:pPr>
      <w:r>
        <w:rPr>
          <w:b w:val="0"/>
          <w:i w:val="0"/>
        </w:rPr>
        <w:t>5- Nghiêm cấm các chủ phương tiện điều khiển xe xích lô, xe đạp thồ, xe máy thồ chèo kéo nài ép mời chào nhiêu fân đổi với người nước ngoài; nghiêm cấm các hộ kinh doanh và trẻ em bán các loại sách báo, tranh ảnh, hương đèn, vật lưu niệm nài ép người nước ngoài mua hàng của mình; nghiêm cấm việc bán dạo hàng lưu niệm cho người nước ngoài trên các tuyến đường : Hùng Vương, Bạch Đằng, khu vực cổ viện Chàm, khu vực du lịch Non Nước, khu liên doanh khách sạn Bắc Mỹ An.</w:t>
      </w:r>
    </w:p>
    <w:p>
      <w:pPr>
        <w:jc w:val="both"/>
      </w:pPr>
      <w:r>
        <w:rPr>
          <w:b w:val="0"/>
          <w:i w:val="0"/>
        </w:rPr>
        <w:t>6- Tuyệt đối không để tình trạng người đi lang thang, ăn xin ngủ trên các vỉa hè đường phố.</w:t>
      </w:r>
    </w:p>
    <w:p>
      <w:pPr>
        <w:jc w:val="both"/>
      </w:pPr>
      <w:r>
        <w:rPr>
          <w:b w:val="0"/>
          <w:i w:val="0"/>
        </w:rPr>
        <w:t>Cấm vứt rác ra đường, đổ rác xuống cống, đổ nước thải ra đường phố.</w:t>
      </w:r>
    </w:p>
    <w:p>
      <w:pPr>
        <w:jc w:val="both"/>
      </w:pPr>
      <w:r>
        <w:rPr>
          <w:b w:val="0"/>
          <w:i w:val="0"/>
        </w:rPr>
        <w:t>Nhận được Chỉ thị này, Thủ trưởng các cơ quan, đơn vị, địa phương nghiêm chỉnh triển khai thực hiện. Mọi hành vi trái với tinh thần chỉ thị này đều bị xử phạt vi phạm hành chính, trường hợp gây hậu quả nghiêm trọng sẽ bị truy tố trước pháp luật.</w:t>
      </w:r>
    </w:p>
    <w:p>
      <w:pPr>
        <w:jc w:val="both"/>
      </w:pPr>
      <w:r>
        <w:rPr>
          <w:b w:val="0"/>
          <w:i w:val="0"/>
        </w:rPr>
        <w:t>Chỉ thị này được phổ biến rộng rãi đến toàn thể nhân dân trong thành phố.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Nơi nhận:</w:t>
            </w:r>
            <w:r>
              <w:rPr>
                <w:b w:val="0"/>
                <w:i w:val="0"/>
              </w:rPr>
              <w:br/>
            </w:r>
            <w:r>
              <w:rPr>
                <w:b w:val="0"/>
                <w:i w:val="0"/>
              </w:rPr>
              <w:t xml:space="preserve">- </w:t>
            </w:r>
            <w:r>
              <w:rPr>
                <w:b w:val="0"/>
                <w:i w:val="0"/>
              </w:rPr>
              <w:t>TVTU</w:t>
            </w:r>
            <w:r>
              <w:rPr>
                <w:b w:val="0"/>
                <w:i w:val="0"/>
              </w:rPr>
              <w:br/>
            </w:r>
            <w:r>
              <w:rPr>
                <w:b w:val="0"/>
                <w:i w:val="0"/>
              </w:rPr>
              <w:t xml:space="preserve">- </w:t>
            </w:r>
            <w:r>
              <w:rPr>
                <w:b w:val="0"/>
                <w:i w:val="0"/>
              </w:rPr>
              <w:t>TTHĐND, UBND</w:t>
            </w:r>
            <w:r>
              <w:rPr>
                <w:b w:val="0"/>
                <w:i w:val="0"/>
              </w:rPr>
              <w:br/>
            </w:r>
            <w:r>
              <w:rPr>
                <w:b w:val="0"/>
                <w:i w:val="0"/>
              </w:rPr>
              <w:t xml:space="preserve">- </w:t>
            </w:r>
            <w:r>
              <w:rPr>
                <w:b w:val="0"/>
                <w:i w:val="0"/>
              </w:rPr>
              <w:t>Các Sở, B, N, HHVang</w:t>
            </w:r>
            <w:r>
              <w:rPr>
                <w:b w:val="0"/>
                <w:i w:val="0"/>
              </w:rPr>
              <w:br/>
            </w:r>
            <w:r>
              <w:rPr>
                <w:b w:val="0"/>
                <w:i w:val="0"/>
              </w:rPr>
              <w:t xml:space="preserve">- </w:t>
            </w:r>
            <w:r>
              <w:rPr>
                <w:b w:val="0"/>
                <w:i w:val="0"/>
              </w:rPr>
              <w:t>UBND xã, phường</w:t>
            </w:r>
            <w:r>
              <w:rPr>
                <w:b w:val="0"/>
                <w:i w:val="0"/>
              </w:rPr>
              <w:br/>
            </w:r>
            <w:r>
              <w:rPr>
                <w:b w:val="0"/>
                <w:i w:val="0"/>
              </w:rPr>
              <w:t xml:space="preserve">- </w:t>
            </w:r>
            <w:r>
              <w:rPr>
                <w:b w:val="0"/>
                <w:i w:val="0"/>
              </w:rPr>
              <w:t>Đội quy tắc</w:t>
            </w:r>
            <w:r>
              <w:rPr>
                <w:b w:val="0"/>
                <w:i w:val="0"/>
              </w:rPr>
              <w:br/>
            </w:r>
            <w:r>
              <w:rPr>
                <w:b w:val="0"/>
                <w:i w:val="0"/>
              </w:rPr>
              <w:t xml:space="preserve">- </w:t>
            </w:r>
            <w:r>
              <w:rPr>
                <w:b w:val="0"/>
                <w:i w:val="0"/>
              </w:rPr>
              <w:t>Cty QLC, CTCV, CTMT</w:t>
            </w:r>
            <w:r>
              <w:rPr>
                <w:b w:val="0"/>
                <w:i w:val="0"/>
              </w:rPr>
              <w:br/>
            </w:r>
            <w:r>
              <w:rPr>
                <w:b w:val="0"/>
                <w:i w:val="0"/>
              </w:rPr>
              <w:t xml:space="preserve">- </w:t>
            </w:r>
            <w:r>
              <w:rPr>
                <w:b w:val="0"/>
                <w:i w:val="0"/>
              </w:rPr>
              <w:t>Lưu VPUB</w:t>
            </w:r>
          </w:p>
        </w:tc>
        <w:tc>
          <w:tcPr>
            <w:tcW w:type="dxa" w:w="4320"/>
          </w:tcPr>
          <w:p>
            <w:r>
              <w:rPr>
                <w:b w:val="0"/>
                <w:i w:val="0"/>
              </w:rPr>
              <w:br/>
            </w:r>
            <w:r>
              <w:rPr>
                <w:b/>
                <w:i w:val="0"/>
              </w:rPr>
              <w:t>TM. UBND LÂM THỜI THÀNH PHỐ ĐÀ NẴNG</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Nguyễn Bá Thanh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