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02/CT-UB/XD Về việc thực hiện và tăng cường quản lý chất lượng công trình xây dựng</w:t>
      </w:r>
    </w:p>
    <w:p>
      <w:r>
        <w:rPr>
          <w:b w:val="0"/>
          <w:i w:val="0"/>
        </w:rPr>
        <w:br/>
      </w:r>
      <w:r>
        <w:rPr>
          <w:b/>
          <w:i w:val="0"/>
        </w:rPr>
        <w:br/>
      </w:r>
      <w:r>
        <w:rPr>
          <w:b/>
          <w:i w:val="0"/>
        </w:rPr>
        <w:br/>
      </w:r>
      <w:r>
        <w:rPr>
          <w:b/>
          <w:i w:val="0"/>
        </w:rPr>
        <w:t xml:space="preserve">ỦY BAN NHÂN DÂN </w:t>
      </w:r>
      <w:r>
        <w:rPr>
          <w:b/>
          <w:i w:val="0"/>
        </w:rPr>
        <w:br/>
      </w:r>
      <w:r>
        <w:br/>
      </w:r>
      <w:r>
        <w:rPr>
          <w:b/>
          <w:i w:val="0"/>
        </w:rPr>
        <w:t>TỈNH HÀ TĨNH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HÀ TĨNH</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HÀ TĨNH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02/CT-UB/XD</w:t>
      </w:r>
      <w:r>
        <w:rPr>
          <w:b w:val="0"/>
          <w:i w:val="0"/>
        </w:rPr>
        <w:br/>
      </w:r>
      <w:r>
        <w:rPr>
          <w:b w:val="0"/>
          <w:i w:val="0"/>
        </w:rPr>
        <w:br/>
      </w:r>
      <w:r>
        <w:rPr>
          <w:b w:val="0"/>
          <w:i/>
        </w:rPr>
        <w:br/>
      </w:r>
      <w:r>
        <w:rPr>
          <w:b w:val="0"/>
          <w:i/>
        </w:rPr>
        <w:t>Hà Tĩnh, ngày 18 tháng 1 năm 1996</w:t>
      </w:r>
      <w:r>
        <w:rPr>
          <w:b w:val="0"/>
          <w:i/>
        </w:rPr>
        <w:br/>
      </w:r>
      <w:r>
        <w:rPr>
          <w:b w:val="0"/>
          <w:i w:val="0"/>
        </w:rPr>
        <w:br/>
      </w:r>
    </w:p>
    <w:p>
      <w:pPr>
        <w:jc w:val="center"/>
      </w:pPr>
      <w:r>
        <w:rPr>
          <w:b w:val="0"/>
          <w:i w:val="0"/>
        </w:rPr>
        <w:br/>
      </w:r>
      <w:r>
        <w:rPr>
          <w:b w:val="0"/>
          <w:i w:val="0"/>
        </w:rPr>
        <w:t>Số: 02/CT-UB/XD</w:t>
      </w:r>
      <w:r>
        <w:rPr>
          <w:b w:val="0"/>
          <w:i w:val="0"/>
        </w:rPr>
        <w:br/>
      </w:r>
    </w:p>
    <w:p>
      <w:pPr>
        <w:jc w:val="center"/>
      </w:pPr>
      <w:r>
        <w:rPr>
          <w:b w:val="0"/>
          <w:i w:val="0"/>
        </w:rPr>
        <w:br/>
      </w:r>
      <w:r>
        <w:rPr>
          <w:b w:val="0"/>
          <w:i w:val="0"/>
        </w:rPr>
        <w:t>Hà Tĩnh, ngày 18 tháng 1 năm 1996</w:t>
      </w:r>
      <w:r>
        <w:rPr>
          <w:b w:val="0"/>
          <w:i w:val="0"/>
        </w:rPr>
        <w:br/>
      </w:r>
    </w:p>
    <w:p>
      <w:r>
        <w:rPr>
          <w:b/>
          <w:i w:val="0"/>
        </w:rPr>
        <w:t>CHỈ THỊ CỦA UỶ BAN NHÂN DÂN TỈNH HÀ TĨNH</w:t>
      </w:r>
    </w:p>
    <w:p>
      <w:r>
        <w:rPr>
          <w:b/>
          <w:i w:val="0"/>
        </w:rPr>
        <w:t>Về việc thực hiện và tăng cường quản lý</w:t>
      </w:r>
    </w:p>
    <w:p>
      <w:r>
        <w:rPr>
          <w:b/>
          <w:i w:val="0"/>
        </w:rPr>
        <w:t>chất lượng công trình xây dựng</w:t>
      </w:r>
    </w:p>
    <w:p>
      <w:r>
        <w:rPr>
          <w:b w:val="0"/>
          <w:i w:val="0"/>
        </w:rPr>
        <w:t>Để thống nhất thực hiện và tăng cường quản lý chất lượng công trình xây dựng theo điều lệ quản lý chất lượng công trình xây dựng ban hành kèm theo quyết định số 20/BXD-GĐ ngày 10/6/1995 của Bộ trưởng Bộ Xây dựng; Uỷ ban nhân dân giao cho Giám đốc các Sở quản lý xây dựng chuyên ngành, các chủ đầu tư, các tổ chức tư vấn xây dựng, các doanh nghiệp xây dựng thực hiện tốt những nội dung sau đây:</w:t>
      </w:r>
    </w:p>
    <w:p>
      <w:r>
        <w:rPr>
          <w:b w:val="0"/>
          <w:i w:val="0"/>
        </w:rPr>
        <w:t>1. Các chủ đầu tư, doanh nghiệp xây dựng, tư vấn xây dựng (khảo sát thiết kế, giám sát kỹ thuật xây dựng, kiểm định chất lượng xây dựng v.v...) các tổ chức giám định chất lượng xây dựng thuộc các Sở quản lý xây dựng chuyên ngành chịu trách nhiệm tổ chức thực hiện và quản lý chất lượng công trình xây dựng theo điều lệ quản lý chất lượng công trình xây dựng ban hành kèm theo Nghị định số 20/BXD-GĐ ngày 10/6/1995 của Bộ trưởng Bộ Xây dựng.</w:t>
      </w:r>
    </w:p>
    <w:p>
      <w:r>
        <w:rPr>
          <w:b w:val="0"/>
          <w:i w:val="0"/>
        </w:rPr>
        <w:t>2. Các Sở quản lý xây dựng chuyên ngành (Dân dụng, Công nghiệp, Giao thông, Thuỷ lợi v.v....) phối hợp chặt chẽ với Sở Xây dựng để quản lý chất lượng công trình xây dựng thuộc ngành mình quản lý; trong bộ máy của Sở phải tổ chức một bộ phận chuyên trách về công tác giám định chất lượng công trình xây dựng.</w:t>
      </w:r>
    </w:p>
    <w:p>
      <w:r>
        <w:rPr>
          <w:b w:val="0"/>
          <w:i w:val="0"/>
        </w:rPr>
        <w:t>3. Các chủ đầu tư, công ty tư vấn chỉ được cử những cán bộ chuyên môn được cấp chứng chỉ giám sát kỷ thuật xây dựng của Giám đốc Sở quản lý xây dựng chuyên ngành để giám sát kỹ thuật trong quá trình xây dựng.</w:t>
      </w:r>
    </w:p>
    <w:p>
      <w:r>
        <w:rPr>
          <w:b w:val="0"/>
          <w:i w:val="0"/>
        </w:rPr>
        <w:t>4. Các doanh nghiệp xây dựng, tổ chức tư vấn xây dựng phải tổ chức quản lý chất lượng sản phẩm của mình theo sự hướng dẫn của Sở Xây dựng.</w:t>
      </w:r>
    </w:p>
    <w:p>
      <w:r>
        <w:rPr>
          <w:b w:val="0"/>
          <w:i w:val="0"/>
        </w:rPr>
        <w:t>5. Khi công trình xây dựng có sự cố, chủ đầu tư, đơn vị thi công có trách nhiệm và biện pháp cụ thể để bảo vệ hiện trường đồng thời báo cáo gấp cho các cơ quan liên quan theo quy định của điều lệ trên. Nếu tự ý xoá bỏ hiện trường mà không báo cáo đến các cơ quan liên quan (theo điều lệ) thì thủ trưởng cơ quan phải chịu trách nhiệm về hậu quả xẩy ra.</w:t>
      </w:r>
    </w:p>
    <w:p>
      <w:r>
        <w:rPr>
          <w:b w:val="0"/>
          <w:i w:val="0"/>
        </w:rPr>
        <w:t>6. Giao các Sở quản lý xây dựng chuyên ngành thống nhất với Sở Xây dựng để quy định quyền hạn, trách nhiệm của các chuyên viên giám định chất lượng; tổ chức tập huấn kiểm tra và cấp thẻ giám định, chứng chỉ giám sát kỹ thuật cho các công chức và viên chức thực thi công vụ; lập kế hoạch để phối hợp kiểm tra định kỳ, báo cáo việc quản lý chất lượng và sự cố công trình cho Sở Xây dựng để tổng hợp báo cáo Uỷ ban nhân dân tỉnh và Bộ Xây dựng.</w:t>
      </w:r>
    </w:p>
    <w:p>
      <w:r>
        <w:rPr>
          <w:b w:val="0"/>
          <w:i w:val="0"/>
        </w:rPr>
        <w:t>7. Giao Sở xây dựng chủ trì cùng với các Sở quản lý xây dựng chuyên ngành và Ban tổ chức chính quyền tỉnh nghiên cứu phương án tổ chức tư vấn kiểm định chất lượng: Vật liệu xây dựng, vật tư thiết bị, cấu kiện xây dựng v.v.... trình UBND tỉnh xem xét quyết định.</w:t>
      </w:r>
    </w:p>
    <w:p>
      <w:r>
        <w:rPr>
          <w:b w:val="0"/>
          <w:i w:val="0"/>
        </w:rPr>
        <w:t>Sở Xây dựng có trách nhiệm hướng dẫn các cơ quan liên quan thực hiện tốt Chỉ thị này./.</w:t>
      </w:r>
    </w:p>
    <w:p>
      <w:r>
        <w:rPr>
          <w:b w:val="0"/>
          <w:i w:val="0"/>
        </w:rPr>
        <w:br/>
      </w:r>
      <w:r>
        <w:rPr>
          <w:b w:val="0"/>
          <w:i w:val="0"/>
        </w:rPr>
        <w:br/>
      </w:r>
      <w:r>
        <w:rPr>
          <w:b w:val="0"/>
          <w:i w:val="0"/>
        </w:rPr>
        <w:br/>
      </w:r>
      <w:r>
        <w:rPr>
          <w:b/>
          <w:i w:val="0"/>
        </w:rPr>
        <w:br/>
      </w:r>
      <w:r>
        <w:rPr>
          <w:b/>
          <w:i w:val="0"/>
        </w:rPr>
        <w:br/>
      </w:r>
      <w:r>
        <w:rPr>
          <w:b/>
          <w:i w:val="0"/>
        </w:rPr>
        <w:br/>
      </w:r>
      <w:r>
        <w:rPr>
          <w:b/>
          <w:i w:val="0"/>
        </w:rPr>
        <w:t>TM. ỦY BAN NHÂN DÂN</w:t>
      </w:r>
      <w:r>
        <w:rPr>
          <w:b/>
          <w:i w:val="0"/>
        </w:rPr>
        <w:br/>
      </w:r>
      <w:r>
        <w:rPr>
          <w:b/>
          <w:i w:val="0"/>
        </w:rPr>
        <w:br/>
      </w:r>
      <w:r>
        <w:rPr>
          <w:b/>
          <w:i w:val="0"/>
        </w:rPr>
        <w:br/>
      </w:r>
      <w:r>
        <w:rPr>
          <w:b/>
          <w:i w:val="0"/>
        </w:rPr>
        <w:t>KT. CHỦ TỊCH</w:t>
      </w:r>
      <w:r>
        <w:rPr>
          <w:b/>
          <w:i w:val="0"/>
        </w:rPr>
        <w:br/>
      </w:r>
      <w:r>
        <w:rPr>
          <w:b/>
          <w:i w:val="0"/>
        </w:rPr>
        <w:br/>
      </w:r>
      <w:r>
        <w:rPr>
          <w:b/>
          <w:i w:val="0"/>
        </w:rP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Nguyễn Hoàng Trạch</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TM. ỦY BAN NHÂN DÂN</w:t>
      </w:r>
      <w:r>
        <w:rPr>
          <w:b/>
          <w:i w:val="0"/>
        </w:rPr>
        <w:br/>
      </w:r>
      <w:r>
        <w:rPr>
          <w:b/>
          <w:i w:val="0"/>
        </w:rPr>
        <w:br/>
      </w:r>
      <w:r>
        <w:rPr>
          <w:b/>
          <w:i w:val="0"/>
        </w:rPr>
        <w:br/>
      </w:r>
      <w:r>
        <w:rPr>
          <w:b/>
          <w:i w:val="0"/>
        </w:rPr>
        <w:t>KT. CHỦ TỊCH</w:t>
      </w:r>
      <w:r>
        <w:rPr>
          <w:b/>
          <w:i w:val="0"/>
        </w:rPr>
        <w:br/>
      </w:r>
      <w:r>
        <w:rPr>
          <w:b/>
          <w:i w:val="0"/>
        </w:rPr>
        <w:br/>
      </w:r>
      <w:r>
        <w:rPr>
          <w:b/>
          <w:i w:val="0"/>
        </w:rP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Nguyễn Hoàng Trạch</w:t>
      </w:r>
      <w:r>
        <w:rPr>
          <w:b/>
          <w:i w:val="0"/>
        </w:rPr>
        <w:br/>
      </w:r>
      <w:r>
        <w:rPr>
          <w:b/>
          <w:i w:val="0"/>
        </w:rPr>
        <w:br/>
      </w:r>
      <w:r>
        <w:rPr>
          <w:b w:val="0"/>
          <w:i w:val="0"/>
        </w:rPr>
        <w:br/>
      </w:r>
    </w:p>
    <w:p>
      <w:pPr>
        <w:jc w:val="center"/>
      </w:pPr>
      <w:r>
        <w:rPr>
          <w:b w:val="0"/>
          <w:i w:val="0"/>
        </w:rPr>
        <w:br/>
      </w:r>
      <w:r>
        <w:rPr>
          <w:b w:val="0"/>
          <w:i w:val="0"/>
        </w:rPr>
        <w:br/>
      </w:r>
      <w:r>
        <w:rPr>
          <w:b/>
          <w:i w:val="0"/>
        </w:rPr>
        <w:br/>
      </w:r>
      <w:r>
        <w:rPr>
          <w:b/>
          <w:i w:val="0"/>
        </w:rPr>
        <w:t>TM. ỦY BAN NHÂN DÂN</w:t>
      </w:r>
      <w:r>
        <w:rPr>
          <w:b/>
          <w:i w:val="0"/>
        </w:rPr>
        <w:br/>
      </w:r>
      <w:r>
        <w:rPr>
          <w:b w:val="0"/>
          <w:i w:val="0"/>
        </w:rPr>
        <w:br/>
      </w:r>
      <w:r>
        <w:rPr>
          <w:b/>
          <w:i w:val="0"/>
        </w:rPr>
        <w:br/>
      </w:r>
      <w:r>
        <w:rPr>
          <w:b/>
          <w:i w:val="0"/>
        </w:rPr>
        <w:t>KT. CHỦ TỊCH</w:t>
      </w:r>
      <w:r>
        <w:rPr>
          <w:b/>
          <w:i w:val="0"/>
        </w:rPr>
        <w:br/>
      </w:r>
      <w:r>
        <w:rPr>
          <w:b w:val="0"/>
          <w:i w:val="0"/>
        </w:rPr>
        <w:br/>
      </w:r>
      <w:r>
        <w:rPr>
          <w:b/>
          <w:i w:val="0"/>
        </w:rP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Hoàng Trạch</w:t>
      </w:r>
      <w:r>
        <w:rPr>
          <w:b/>
          <w:i w:val="0"/>
        </w:rPr>
        <w:br/>
      </w:r>
      <w:r>
        <w:rPr>
          <w:b w:val="0"/>
          <w:i w:val="0"/>
        </w:rPr>
        <w:br/>
      </w:r>
    </w:p>
    <w:p>
      <w:r>
        <w:rPr>
          <w:b w:val="0"/>
          <w:i w:val="0"/>
        </w:rPr>
        <w:br/>
      </w:r>
      <w:r>
        <w:rPr>
          <w:b w:val="0"/>
          <w:i w:val="0"/>
        </w:rPr>
        <w:t>TM. ỦY BAN NHÂN DÂN</w:t>
      </w:r>
      <w:r>
        <w:rPr>
          <w:b w:val="0"/>
          <w:i w:val="0"/>
        </w:rPr>
        <w:br/>
      </w:r>
    </w:p>
    <w:p>
      <w:r>
        <w:rPr>
          <w:b w:val="0"/>
          <w:i w:val="0"/>
        </w:rPr>
        <w:br/>
      </w:r>
      <w:r>
        <w:rPr>
          <w:b w:val="0"/>
          <w:i w:val="0"/>
        </w:rPr>
        <w:t>KT. CHỦ TỊCH</w:t>
      </w:r>
      <w:r>
        <w:rPr>
          <w:b w:val="0"/>
          <w:i w:val="0"/>
        </w:rPr>
        <w:br/>
      </w:r>
    </w:p>
    <w:p>
      <w:r>
        <w:rPr>
          <w:b w:val="0"/>
          <w:i w:val="0"/>
        </w:rP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Nguyễn Hoàng Trạch</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