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03/2001/CT-UB V/v Bảo vệ nguồn nước và công trình thủy lợi đầu mối Hồ Núi Cốc.</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r>
        <w:rPr>
          <w:b w:val="0"/>
          <w:i w:val="0"/>
        </w:rPr>
        <w:br/>
      </w:r>
      <w:r>
        <w:rPr>
          <w:b w:val="0"/>
          <w:i w:val="0"/>
        </w:rPr>
        <w:br/>
      </w:r>
      <w:r>
        <w:rPr>
          <w:b w:val="0"/>
          <w:i w:val="0"/>
        </w:rPr>
        <w:br/>
        <w:t xml:space="preserve">     Số: 03/2001/CT-UB</w:t>
        <w:br/>
        <w:t xml:space="preserve">    </w:t>
      </w:r>
      <w:r>
        <w:rPr>
          <w:b w:val="0"/>
          <w:i w:val="0"/>
        </w:rPr>
        <w:br/>
      </w:r>
      <w:r>
        <w:rPr>
          <w:b w:val="0"/>
          <w:i/>
        </w:rPr>
        <w:br/>
        <w:t xml:space="preserve">     Thái Nguyên, ngày 18 tháng 01 năm 2001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THÁI NGUYÊN</w:t>
        <w:br/>
        <w:t xml:space="preserve">     </w:t>
      </w:r>
      <w:r>
        <w:rPr>
          <w:b w:val="0"/>
          <w:i w:val="0"/>
        </w:rPr>
        <w:br/>
      </w:r>
      <w:r>
        <w:rPr>
          <w:b w:val="0"/>
          <w:i w:val="0"/>
        </w:rPr>
        <w:br/>
        <w:t xml:space="preserve">      ------------------------</w:t>
        <w:br/>
        <w:t xml:space="preserve">     </w:t>
      </w:r>
      <w:r>
        <w:rPr>
          <w:b w:val="0"/>
          <w:i w:val="0"/>
        </w:rPr>
        <w:br/>
      </w:r>
    </w:p>
    <w:p>
      <w:r>
        <w:rPr>
          <w:b w:val="0"/>
          <w:i w:val="0"/>
        </w:rPr>
        <w:br/>
        <w:t xml:space="preserve">      Ủy ban nhân dân  </w:t>
        <w:br/>
        <w:t xml:space="preserve">      </w:t>
      </w:r>
      <w:r>
        <w:br/>
      </w:r>
      <w:r>
        <w:rPr>
          <w:b w:val="0"/>
          <w:i w:val="0"/>
        </w:rPr>
        <w:br/>
        <w:t xml:space="preserve">       TỈNH THÁI NGUYÊN</w:t>
        <w:br/>
        <w:t xml:space="preserve">     </w:t>
      </w:r>
    </w:p>
    <w:p>
      <w:r>
        <w:rPr>
          <w:b w:val="0"/>
          <w:i w:val="0"/>
        </w:rPr>
        <w:br/>
        <w:t xml:space="preserve">      ------------------------</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t xml:space="preserve">      ---------------------------</w:t>
        <w:br/>
        <w:t xml:space="preserve">     </w:t>
      </w:r>
    </w:p>
    <w:p>
      <w:r>
        <w:rPr>
          <w:b w:val="0"/>
          <w:i w:val="0"/>
        </w:rPr>
        <w:br/>
      </w:r>
      <w:r>
        <w:rPr>
          <w:b w:val="0"/>
          <w:i w:val="0"/>
        </w:rPr>
        <w:br/>
        <w:t xml:space="preserve">     Số: 03/2001/CT-UB</w:t>
        <w:br/>
        <w:t xml:space="preserve">    </w:t>
      </w:r>
      <w:r>
        <w:rPr>
          <w:b w:val="0"/>
          <w:i w:val="0"/>
        </w:rPr>
        <w:br/>
      </w:r>
      <w:r>
        <w:rPr>
          <w:b w:val="0"/>
          <w:i/>
        </w:rPr>
        <w:br/>
        <w:t xml:space="preserve">     Thái Nguyên, ngày 18 tháng 01 năm 2001</w:t>
        <w:br/>
        <w:t xml:space="preserve">    </w:t>
      </w:r>
      <w:r>
        <w:rPr>
          <w:b w:val="0"/>
          <w:i w:val="0"/>
        </w:rPr>
        <w:br/>
      </w:r>
    </w:p>
    <w:p>
      <w:pPr>
        <w:jc w:val="center"/>
      </w:pPr>
      <w:r>
        <w:rPr>
          <w:b w:val="0"/>
          <w:i w:val="0"/>
        </w:rPr>
        <w:br/>
        <w:t xml:space="preserve">     Số: 03/2001/CT-UB</w:t>
        <w:br/>
        <w:t xml:space="preserve">    </w:t>
      </w:r>
    </w:p>
    <w:p>
      <w:pPr>
        <w:jc w:val="center"/>
      </w:pPr>
      <w:r>
        <w:rPr>
          <w:b w:val="0"/>
          <w:i w:val="0"/>
        </w:rPr>
        <w:br/>
        <w:t xml:space="preserve">     Thái Nguyên, ngày 18 tháng 01 năm 2001</w:t>
        <w:br/>
        <w:t xml:space="preserve">    </w:t>
      </w:r>
    </w:p>
    <w:p>
      <w:pPr>
        <w:jc w:val="center"/>
      </w:pPr>
      <w:r>
        <w:rPr>
          <w:b/>
          <w:i w:val="0"/>
        </w:rPr>
        <w:t>QUYẾT ĐỊNH CỦA UỶ BAN NHÂN DÂN TỈNH</w:t>
      </w:r>
    </w:p>
    <w:p>
      <w:pPr>
        <w:jc w:val="center"/>
      </w:pPr>
      <w:r>
        <w:rPr>
          <w:b/>
          <w:i w:val="0"/>
        </w:rPr>
        <w:t xml:space="preserve">Về nhiệm vụ và tổ chức bộ máy của Ban quản lý </w:t>
      </w:r>
    </w:p>
    <w:p>
      <w:pPr>
        <w:jc w:val="center"/>
      </w:pPr>
      <w:r>
        <w:rPr>
          <w:b/>
          <w:i w:val="0"/>
        </w:rPr>
        <w:t>các khu công nghiệp Thái Nguyên</w:t>
      </w:r>
    </w:p>
    <w:p>
      <w:pPr>
        <w:jc w:val="center"/>
      </w:pPr>
      <w:r>
        <w:rPr>
          <w:b/>
          <w:i w:val="0"/>
        </w:rPr>
        <w:t>UỶ BAN NHÂN DÂN TỈNH THÁI NGUYÊN</w:t>
      </w:r>
    </w:p>
    <w:p>
      <w:r>
        <w:rPr>
          <w:b w:val="0"/>
          <w:i w:val="0"/>
        </w:rPr>
        <w:t>- Căn cứ Luật Tổ chức HĐND và UBND (sửa đổi);</w:t>
      </w:r>
    </w:p>
    <w:p>
      <w:r>
        <w:rPr>
          <w:b w:val="0"/>
          <w:i w:val="0"/>
        </w:rPr>
        <w:t xml:space="preserve">- Căn cứ Quyết định số </w:t>
      </w:r>
      <w:r>
        <w:rPr>
          <w:b w:val="0"/>
          <w:i w:val="0"/>
        </w:rPr>
        <w:t>130/2000/QĐ-TTg</w:t>
      </w:r>
      <w:r>
        <w:rPr>
          <w:b w:val="0"/>
          <w:i w:val="0"/>
        </w:rPr>
        <w:t xml:space="preserve"> ngày 20/11/2000 của Thủ tướng Chính phủ về việc thành lập Ban quản lý các khu công nghiệp Thái Nguyên;</w:t>
      </w:r>
    </w:p>
    <w:p>
      <w:r>
        <w:rPr>
          <w:b w:val="0"/>
          <w:i w:val="0"/>
        </w:rPr>
        <w:t>- Căn cứ vào Quyết định số 3296/2000/QĐ-UB ngày 13/10/2000 của UBND tỉnh về việc ban hành qui chế về cơ chế ưu đãi, khuyến khích đầu tư vào khu công nghiệp Sông Công Thái Nguyên;</w:t>
      </w:r>
    </w:p>
    <w:p>
      <w:r>
        <w:rPr>
          <w:b w:val="0"/>
          <w:i w:val="0"/>
        </w:rPr>
        <w:t>- Theo đề nghị của Trưởng ban Tổ chức chính quyền tỉnh tại công văn số 1537/CV-TCCQ ngày 26/12/2000,</w:t>
      </w:r>
    </w:p>
    <w:p>
      <w:pPr>
        <w:jc w:val="center"/>
      </w:pPr>
      <w:r>
        <w:rPr>
          <w:b/>
          <w:i w:val="0"/>
        </w:rPr>
        <w:t>QUYẾT ĐỊNH:</w:t>
      </w:r>
    </w:p>
    <w:p>
      <w:r>
        <w:rPr>
          <w:b/>
          <w:i w:val="0"/>
        </w:rPr>
        <w:t xml:space="preserve">Điều 1. </w:t>
      </w:r>
      <w:r>
        <w:rPr>
          <w:b w:val="0"/>
          <w:i w:val="0"/>
        </w:rPr>
        <w:t>- Ban quản lý các khu công nghiệp Thái Nguyên là cơ quan trực thuộc UBND tỉnh, là cơ quan trực tiếp quản lý các khu công nghiệp(KCN) của tỉnh. Ban quản lý có trách nhiệm thực hiện các nhiệm vụ và quyền hạn sau :</w:t>
      </w:r>
    </w:p>
    <w:p>
      <w:r>
        <w:rPr>
          <w:b w:val="0"/>
          <w:i w:val="0"/>
        </w:rPr>
        <w:t>1) Xây dựng Điều lệ quản lý các KCN của tỉnh trình uỷ ban nhân dân tỉnh phê duyệt. Trường hợp điều lệ quản lý KCN trên địa bàn liên tỉnh thì trình Bộ Kế hoạch và Đầu tư phê duyệt.</w:t>
      </w:r>
    </w:p>
    <w:p>
      <w:r>
        <w:rPr>
          <w:b w:val="0"/>
          <w:i w:val="0"/>
        </w:rPr>
        <w:t>2) Tổ chức xây dựng và quản lý thực hiên quy hoạch chi tiết, tiến độ xây dựng, phát triển các KCN bao gồm : Quy hoạch phát triển công trình kết cấu hạ tầng; quy hoạch bố trí ngành nghề tham gia phát triển công trình kết cấu hạ tầng ngoài khu công nghiệp liên quan và khu dân cư phục vụ cho công nhân lao động tại khu công nghiệp.</w:t>
      </w:r>
    </w:p>
    <w:p>
      <w:r>
        <w:rPr>
          <w:b w:val="0"/>
          <w:i w:val="0"/>
        </w:rPr>
        <w:t xml:space="preserve">3) Đôn đốc, kiểm tra việc xây dựng các công trình kết cấu hạ tẩng trong và ngoài KCN liên quan để đảm bảo việc xây dựng và đưa vào hoạt động đồng bộ theo đúng quy hoạch và tiến độ được duyệt. </w:t>
      </w:r>
    </w:p>
    <w:p>
      <w:r>
        <w:rPr>
          <w:b w:val="0"/>
          <w:i w:val="0"/>
        </w:rPr>
        <w:t>4) Hỗ trợ vận động đầu tư vào khu công nghiệp. Tiếp nhận đơn xin đầu tư kèm theo dự án đầu tư, tổ chức thẩm định và cấp giấy phép đầu tư cho các dự án đầu tư nước ngoài theo uỷ quyền.</w:t>
      </w:r>
    </w:p>
    <w:p>
      <w:r>
        <w:rPr>
          <w:b w:val="0"/>
          <w:i w:val="0"/>
        </w:rPr>
        <w:t>5) Kiểm tra, thanh tra việc thực hiện giấy phép đầu tư, hợp đồng gia công sản phẩm, hợp đồng cung cấp dịch vụ, hợp đồng kinh doanh, các tranh chấp kinh tế theo yêu cầu của đương sự.</w:t>
      </w:r>
    </w:p>
    <w:p>
      <w:r>
        <w:rPr>
          <w:b w:val="0"/>
          <w:i w:val="0"/>
        </w:rPr>
        <w:t>6) Phối hợp với các cơ quan quản lý nhà nước về lao động trong việc kiểm tra, thanh tra các quy định của pháp luật về hợp động lao động, thoả ước lao động tập thể, an toàn lao động, tiền lương.</w:t>
      </w:r>
    </w:p>
    <w:p>
      <w:r>
        <w:rPr>
          <w:b w:val="0"/>
          <w:i w:val="0"/>
        </w:rPr>
        <w:t xml:space="preserve">7) Quản lý hoạt động dịch vụ trong KCN. </w:t>
      </w:r>
    </w:p>
    <w:p>
      <w:r>
        <w:rPr>
          <w:b w:val="0"/>
          <w:i w:val="0"/>
        </w:rPr>
        <w:t>8) Thoả thuận với Công ty phát triển hạ tầng KCN trong việc định giá cho thuê lại đất gắn liền với công trình kết cấu hạ tầng đã xây dựng, các loại phí dịch vụ theo đúng chính sách và pháp luật hiện hành.</w:t>
      </w:r>
    </w:p>
    <w:p>
      <w:r>
        <w:rPr>
          <w:b w:val="0"/>
          <w:i w:val="0"/>
        </w:rPr>
        <w:t>9) Cấp, điều chỉnh và thu hồi các loại giấy chứng chỉ thuộc thẩm quyền hoặc theo uỷ quyền; cấp, điều chỉnh và thu hồi các loại giấy phép theo uỷ quyền.</w:t>
      </w:r>
    </w:p>
    <w:p>
      <w:r>
        <w:rPr>
          <w:b w:val="0"/>
          <w:i w:val="0"/>
        </w:rPr>
        <w:t xml:space="preserve">10) Mời đại diện tham dự các cuộc họp của các cơ quan Chính phủ và UBND tỉnh khi bàn về việc hình thành, xây dựng, phát triển và quảnlý khu công nghiệp. </w:t>
      </w:r>
    </w:p>
    <w:p>
      <w:r>
        <w:rPr>
          <w:b w:val="0"/>
          <w:i w:val="0"/>
        </w:rPr>
        <w:t>11) Báo cáo định kỳ và hàng năm theo quy định của pháp luật về tình hình hình thành, xây dựng, phát triển và quản lý các khu công nghiệp về uỷ ban nhân dân tỉnh, các cơ quan Chính phủ có liên quan.</w:t>
      </w:r>
    </w:p>
    <w:p>
      <w:r>
        <w:rPr>
          <w:b w:val="0"/>
          <w:i w:val="0"/>
        </w:rPr>
        <w:t>12) Giao cho Ban quản lý các khu công nghiệp Thái Nguyên là chủ đầu tư các công trình hạ tầng dùng vốn ngân sách nhà nước trong hàng rào khu công nghiệp.</w:t>
      </w:r>
    </w:p>
    <w:p>
      <w:r>
        <w:rPr>
          <w:b/>
          <w:i w:val="0"/>
        </w:rPr>
        <w:t xml:space="preserve">Điều 2. </w:t>
      </w:r>
      <w:r>
        <w:rPr>
          <w:b w:val="0"/>
          <w:i w:val="0"/>
        </w:rPr>
        <w:t>- Tổ chức bộ máy của Ban quản lý.</w:t>
      </w:r>
    </w:p>
    <w:p>
      <w:r>
        <w:rPr>
          <w:b w:val="0"/>
          <w:i w:val="0"/>
        </w:rPr>
        <w:t>1- Tổ chức :</w:t>
      </w:r>
    </w:p>
    <w:p>
      <w:r>
        <w:rPr>
          <w:b w:val="0"/>
          <w:i w:val="0"/>
        </w:rPr>
        <w:t>- Ban quản lý các KCN Thái Nguyên có Trưởng ban phụ trách chung. Trưởng ban quản lý do Thủ tướng Chính phủ bổ nhiệm theo đề nghị của UBND tỉnh và ý kiến thẩm định của Bộ trưởng, Trưởng ban Tổ chức cán bộ Chính phủ.</w:t>
      </w:r>
    </w:p>
    <w:p>
      <w:r>
        <w:rPr>
          <w:b w:val="0"/>
          <w:i w:val="0"/>
        </w:rPr>
        <w:t>- Ban quản lý các KCN Thái Nguyên có một Phó trưởng ban và 3 uỷ biên (kiêm nhiệm) giúp việc cho Trưởng ban. Việc bổ nhiệm các Phó trưởng</w:t>
      </w:r>
      <w:r>
        <w:br/>
      </w:r>
      <w:r>
        <w:rPr>
          <w:b w:val="0"/>
          <w:i w:val="0"/>
        </w:rPr>
        <w:br/>
        <w:t xml:space="preserve">    ban và các Uỷ viên do UBND tỉnh quyết định theo đề nghị của Trưởng ban quản lý các khu công nghiệp Thái Nguyên.</w:t>
      </w:r>
    </w:p>
    <w:p>
      <w:r>
        <w:rPr>
          <w:b w:val="0"/>
          <w:i w:val="0"/>
        </w:rPr>
        <w:t>2) Bộ máy của Ban quản lý các khu công nghiệp Thái Nguyên gồm có 3 phòng chuyên môn :</w:t>
      </w:r>
    </w:p>
    <w:p>
      <w:r>
        <w:rPr>
          <w:b w:val="0"/>
          <w:i w:val="0"/>
        </w:rPr>
        <w:t>- Văn phòng</w:t>
      </w:r>
    </w:p>
    <w:p>
      <w:r>
        <w:rPr>
          <w:b w:val="0"/>
          <w:i w:val="0"/>
        </w:rPr>
        <w:t>- Phòng Quản lý qui hoạch và môi trường</w:t>
      </w:r>
    </w:p>
    <w:p>
      <w:r>
        <w:rPr>
          <w:b w:val="0"/>
          <w:i w:val="0"/>
        </w:rPr>
        <w:t>- Phòng Quản lý đầu tư và doanh nghiệp</w:t>
      </w:r>
    </w:p>
    <w:p>
      <w:r>
        <w:rPr>
          <w:b w:val="0"/>
          <w:i w:val="0"/>
        </w:rPr>
        <w:t>Việc bổ nhiệm các chức danh Trưởng, Phó phòng của Ban do Trưởng Ban quản lý quyết định sau khi thoả thuận với Trưởng Ban Tổ chức chính quyền tỉnh.</w:t>
      </w:r>
    </w:p>
    <w:p>
      <w:r>
        <w:rPr>
          <w:b/>
          <w:i w:val="0"/>
        </w:rPr>
        <w:t xml:space="preserve"> Điều 3: </w:t>
      </w:r>
      <w:r>
        <w:rPr>
          <w:b w:val="0"/>
          <w:i w:val="0"/>
        </w:rPr>
        <w:t>- Ban Quản lý các khu công nghiệp Thái Nguyên xây dựng qui chế làm việc và cơ chế quản lý một cửa đối với khu công nghiệp Sông Công trình UBND tỉnh phê duyệt để tổ chức thực hiện.</w:t>
      </w:r>
    </w:p>
    <w:p>
      <w:r>
        <w:rPr>
          <w:b/>
          <w:i w:val="0"/>
        </w:rPr>
        <w:t>Điều 4.</w:t>
      </w:r>
      <w:r>
        <w:rPr>
          <w:b w:val="0"/>
          <w:i w:val="0"/>
        </w:rPr>
        <w:t xml:space="preserve"> - Các ông, bà : Chánh văn phòng UBND tỉnh, Trưởng Ban Tổ chức chính quyền tỉnh, Trưởng ban Quản lý các khu công nghiệp Thái Nguyên, Thủ trưởng các sở, ban, ngành có liên quan chịu trách nhiệm thi hành quyết định này./.</w:t>
      </w:r>
    </w:p>
    <w:p>
      <w:r>
        <w:rPr>
          <w:b w:val="0"/>
          <w:i w:val="0"/>
        </w:rPr>
        <w:br/>
      </w:r>
      <w:r>
        <w:rPr>
          <w:b/>
          <w:i w:val="0"/>
        </w:rPr>
        <w:br/>
      </w:r>
      <w:r>
        <w:rPr>
          <w:b/>
          <w:i w:val="0"/>
        </w:rPr>
        <w:br/>
        <w:t xml:space="preserve">     TM/ ỦY BAN NHÂN DÂN TỈNH THÁI NGUYÊN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Lương Đức Tính</w:t>
        <w:br/>
        <w:t xml:space="preserve">    </w:t>
      </w:r>
      <w:r>
        <w:rPr>
          <w:b/>
          <w:i w:val="0"/>
        </w:rPr>
        <w:br/>
      </w:r>
      <w:r>
        <w:rPr>
          <w:b w:val="0"/>
          <w:i w:val="0"/>
        </w:rPr>
        <w:br/>
      </w:r>
    </w:p>
    <w:p>
      <w:pPr>
        <w:jc w:val="center"/>
      </w:pPr>
      <w:r>
        <w:rPr>
          <w:b w:val="0"/>
          <w:i w:val="0"/>
        </w:rPr>
        <w:br/>
      </w:r>
      <w:r>
        <w:rPr>
          <w:b/>
          <w:i w:val="0"/>
        </w:rPr>
        <w:br/>
        <w:t xml:space="preserve">     TM/ ỦY BAN NHÂN DÂN TỈNH THÁI NGUYÊN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Lương Đức Tính</w:t>
        <w:br/>
        <w:t xml:space="preserve">    </w:t>
      </w:r>
      <w:r>
        <w:rPr>
          <w:b w:val="0"/>
          <w:i w:val="0"/>
        </w:rPr>
        <w:br/>
      </w:r>
    </w:p>
    <w:p>
      <w:r>
        <w:rPr>
          <w:b w:val="0"/>
          <w:i w:val="0"/>
        </w:rPr>
        <w:br/>
        <w:t xml:space="preserve">     TM/ ỦY BAN NHÂN DÂN TỈNH THÁI NGUYÊN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Lương Đức Tính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