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03/2002/QĐ-BCN Về việc chuyển Nhà máy Cơ khí Mạo Khê thành đơn vị hạch toán phụ thuộc Công ty than Mạo Khê</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03/2002/QĐ-BCN</w:t>
      </w:r>
      <w:r>
        <w:rPr>
          <w:b w:val="0"/>
          <w:i w:val="0"/>
        </w:rPr>
        <w:br/>
      </w:r>
      <w:r>
        <w:rPr>
          <w:b w:val="0"/>
          <w:i w:val="0"/>
        </w:rPr>
        <w:br/>
      </w:r>
      <w:r>
        <w:rPr>
          <w:b w:val="0"/>
          <w:i/>
        </w:rPr>
        <w:br/>
      </w:r>
      <w:r>
        <w:rPr>
          <w:b w:val="0"/>
          <w:i/>
        </w:rPr>
        <w:t>Hà Nội, ngày 08 tháng 01 năm 2002</w:t>
      </w:r>
      <w:r>
        <w:rPr>
          <w:b w:val="0"/>
          <w:i/>
        </w:rPr>
        <w:br/>
      </w:r>
      <w:r>
        <w:rPr>
          <w:b w:val="0"/>
          <w:i w:val="0"/>
        </w:rPr>
        <w:br/>
      </w:r>
    </w:p>
    <w:p>
      <w:pPr>
        <w:jc w:val="center"/>
      </w:pPr>
      <w:r>
        <w:rPr>
          <w:b w:val="0"/>
          <w:i w:val="0"/>
        </w:rPr>
        <w:br/>
      </w:r>
      <w:r>
        <w:rPr>
          <w:b w:val="0"/>
          <w:i w:val="0"/>
        </w:rPr>
        <w:t>Số: 03/2002/QĐ-BCN</w:t>
      </w:r>
      <w:r>
        <w:rPr>
          <w:b w:val="0"/>
          <w:i w:val="0"/>
        </w:rPr>
        <w:br/>
      </w:r>
    </w:p>
    <w:p>
      <w:pPr>
        <w:jc w:val="center"/>
      </w:pPr>
      <w:r>
        <w:rPr>
          <w:b w:val="0"/>
          <w:i w:val="0"/>
        </w:rPr>
        <w:br/>
      </w:r>
      <w:r>
        <w:rPr>
          <w:b w:val="0"/>
          <w:i w:val="0"/>
        </w:rPr>
        <w:t>Hà Nội, ngày 08 tháng 01 năm 2002</w:t>
      </w:r>
      <w:r>
        <w:rPr>
          <w:b w:val="0"/>
          <w:i w:val="0"/>
        </w:rPr>
        <w:br/>
      </w:r>
    </w:p>
    <w:p>
      <w:r>
        <w:rPr>
          <w:b w:val="0"/>
          <w:i w:val="0"/>
        </w:rPr>
        <w:br/>
      </w:r>
      <w:r>
        <w:rPr>
          <w:b/>
          <w:i w:val="0"/>
        </w:rPr>
        <w:t xml:space="preserve">QUYẾT ĐỊNH </w:t>
      </w:r>
      <w:r>
        <w:rPr>
          <w:b w:val="0"/>
          <w:i w:val="0"/>
        </w:rPr>
        <w:br/>
      </w:r>
      <w:r>
        <w:rPr>
          <w:b/>
          <w:i w:val="0"/>
        </w:rPr>
        <w:t>Về việc chuyển Nhà máy Cơ khí Mạo Khê thành đơn vị hạch toán phụ thuộc Công ty than Mạo Khê</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Công văn số 1189/CP-ĐMDN ngày 31 tháng 12 năm 2001 của Thủ tướng Chính phủ về việc phê duyệt Phương án tổ chức lại sản xuất một số đơn vị thành viên của Tổng công ty Than Việt Nam;</w:t>
      </w:r>
      <w:r>
        <w:rPr>
          <w:b w:val="0"/>
          <w:i w:val="0"/>
        </w:rPr>
        <w:br/>
      </w:r>
      <w:r>
        <w:rPr>
          <w:b w:val="0"/>
          <w:i/>
        </w:rPr>
        <w:t>Theo đề nghị của Hội đồng quản trị Tổng công ty Than Việt Nam (Công văn số 2501/CV-HĐQT ngày 10 tháng 10 năm 2001) và Vụ trưởng Vụ Tổ chức - Cán bộ.</w:t>
      </w:r>
      <w:r>
        <w:rPr>
          <w:b w:val="0"/>
          <w:i w:val="0"/>
        </w:rPr>
        <w:br/>
      </w:r>
      <w:r>
        <w:rPr>
          <w:b/>
          <w:i w:val="0"/>
        </w:rPr>
        <w:t>QUYẾT ĐỊNH:</w:t>
      </w:r>
      <w:r>
        <w:rPr>
          <w:b w:val="0"/>
          <w:i w:val="0"/>
        </w:rPr>
        <w:br/>
      </w:r>
      <w:r>
        <w:rPr>
          <w:b/>
          <w:i w:val="0"/>
        </w:rPr>
        <w:t xml:space="preserve">Điều 1. </w:t>
      </w:r>
      <w:r>
        <w:rPr>
          <w:b w:val="0"/>
          <w:i w:val="0"/>
        </w:rPr>
        <w:t>Chuyển Nhà máy Cơ khí Mạo Khê, đơn vị hạch toán độc lập của Tổng công ty Than Việt Nam thành đơn vị hạch toán phụ thuộc Công ty than Mạo Khê, đơn vị thành viên hạch toán độc lập của Tổng công ty Than Việt Nam.</w:t>
      </w:r>
      <w:r>
        <w:rPr>
          <w:b w:val="0"/>
          <w:i w:val="0"/>
        </w:rPr>
        <w:br/>
      </w:r>
      <w:r>
        <w:rPr>
          <w:b/>
          <w:i w:val="0"/>
        </w:rPr>
        <w:t>Điều 2.</w:t>
      </w:r>
      <w:r>
        <w:rPr>
          <w:b w:val="0"/>
          <w:i w:val="0"/>
        </w:rPr>
        <w:t xml:space="preserve"> Tổng giám đốc Tổng công ty Than Việt Nam có trách nhiệm tổ chức việc chuyển giao trên theo đúng các quy định hiện hành của Nhà nước và Điều lệ của Tổng công ty Than Việt Nam.</w:t>
      </w:r>
      <w:r>
        <w:rPr>
          <w:b w:val="0"/>
          <w:i w:val="0"/>
        </w:rPr>
        <w:br/>
      </w:r>
      <w:r>
        <w:rPr>
          <w:b w:val="0"/>
          <w:i w:val="0"/>
        </w:rPr>
        <w:t>Số liệu chuyển giao tính tại thời điểm 31 tháng 12 năm 2001 và được tổng hợp chung trong báo cáo tài chính năm 2001 của Công ty than Mạo Khê.</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Nhà máy Cơ khí Mạo Khê và Giám đốc Công ty than Mạo Khê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