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03/2006/QĐ-BNV Về việc cho phép thành lập Quỹ Toyota Việt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NỘI VỤ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03/2006/QĐ-BNV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Ngày 18 tháng 1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NỘI VỤ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03/2006/QĐ-BNV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Ngày 18 tháng 1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NỘI VỤ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NỘI VỤ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NỘI VỤ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03/2006/QĐ-BNV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Ngày 18 tháng 1 năm 2006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03/2006/QĐ-BNV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Ngày 18 tháng 1 năm 2006</w:t>
      </w:r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việc cho phép thành lập Quỹ Toyota Việt Nam</w:t>
      </w:r>
    </w:p>
    <w:p>
      <w:pPr>
        <w:jc w:val="center"/>
      </w:pPr>
      <w:r>
        <w:rPr>
          <w:b/>
          <w:i w:val="0"/>
        </w:rPr>
        <w:t>_____________________</w:t>
      </w:r>
    </w:p>
    <w:p>
      <w:pPr>
        <w:jc w:val="center"/>
      </w:pPr>
      <w:r>
        <w:rPr>
          <w:b/>
          <w:i w:val="0"/>
        </w:rPr>
        <w:t>BỘ TRƯỞNG BỘ NỘI VỤ</w:t>
      </w:r>
    </w:p>
    <w:p>
      <w:r>
        <w:rPr>
          <w:b w:val="0"/>
          <w:i/>
        </w:rPr>
        <w:t>Căn cứ Sắc lệnh số 102/SL-L004 ngày 20 tháng 5 năm 1957 ban hành Luật quy định về quyền lập Hội;</w:t>
      </w:r>
    </w:p>
    <w:p>
      <w:r>
        <w:rPr>
          <w:b w:val="0"/>
          <w:i/>
        </w:rPr>
        <w:t>Căn cứ Nghị định số 45/2003/NĐ-CP ngày 09 tháng 5 năm 2003 của Chính phủ quy định chức năng, nhiệm vụ, quyền hạn và cơ cấu tổ chức của Bộ Nội vụ;</w:t>
      </w:r>
    </w:p>
    <w:p>
      <w:r>
        <w:rPr>
          <w:b w:val="0"/>
          <w:i/>
        </w:rPr>
        <w:t>Căn cứ Nghị định số 177/1999/NĐ-CP ngày 22 tháng 12 năm 1999 của Chính phủ về việc ban hành Quy chế tổ chức và hoạt động của Quỹ xã hội, Quỹ từ thiện;</w:t>
      </w:r>
    </w:p>
    <w:p>
      <w:r>
        <w:rPr>
          <w:b w:val="0"/>
          <w:i/>
        </w:rPr>
        <w:t>Theo đề nghị của Công ty Ôtô Toyota Việt Nam, Bộ Giáo dục và Đào tạo, Bộ Văn hóa – Thông tin và ý kiến của Vụ Tổ chức phi chính phủ;</w:t>
      </w:r>
    </w:p>
    <w:p>
      <w:pPr>
        <w:jc w:val="center"/>
      </w:pPr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Cho phép thành lập Quỹ Toyota Việt Nam.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Quỹ Toyota Việt Nam chịu sự quản lý nhà nước của Bộ Giáo dục và Đào tạo; hoạt động tuân thủ pháp luật Việt Nam và Điều lệ Quỹ được Bộ trưởng Bộ Nội vụ phê duyệt.</w:t>
      </w:r>
    </w:p>
    <w:p>
      <w:r>
        <w:rPr>
          <w:b w:val="0"/>
          <w:i w:val="0"/>
        </w:rPr>
        <w:t>Quỹ Toyota Việt Nam tự lo mọi chi phí và phương tiện hoạt động.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Quyết định này có hiệu lực sau 15 ngày, kể từ ngày đăng Công báo.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Quỹ Toyota Việt Nam và Vụ trưởng Vụ Tổ chức phi chính phủ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Quang Trung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Quang Trung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Quang Trung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Đỗ Quang Trung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