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Quy định thu cước khoán đối với công văn, giấy tờ của cấp xã gửi 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CHÍNH-TỔNG CỤC BƯU ĐIỆN</w:t>
            </w:r>
            <w:r>
              <w:br/>
            </w:r>
            <w:r>
              <w:rPr>
                <w:b w:val="0"/>
                <w:i w:val="0"/>
              </w:rPr>
              <w:t>----------</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p>
      <w:r>
        <w:rPr>
          <w:b/>
          <w:i w:val="0"/>
        </w:rPr>
        <w:t>THÔNG TƯ LIÊN BỘ</w:t>
      </w:r>
    </w:p>
    <w:p>
      <w:r>
        <w:rPr>
          <w:b/>
          <w:i w:val="0"/>
        </w:rPr>
        <w:t>Quy định thu cước khoán đối với công văn, giấy tờ của cấp xã gửi đi</w:t>
      </w:r>
    </w:p>
    <w:p>
      <w:r>
        <w:rPr>
          <w:b w:val="0"/>
          <w:i w:val="0"/>
        </w:rPr>
        <w:t>Hiện nay cơ quan cấp xã gửi công văn, giấy tờ qua bưu điện đều phải dán tem trả cước phí cho bưu điện.</w:t>
      </w:r>
    </w:p>
    <w:p>
      <w:r>
        <w:rPr>
          <w:b w:val="0"/>
          <w:i w:val="0"/>
        </w:rPr>
        <w:t>Để đơn giản công việc cho cấp xã và cho cơ quan bưu điện, đồng thời tiết kiệm sử dụng tem, Liên bộ Tài chính - Tổng cục Bưu điện quyết định sửa đổi lại cách thu bưu phí đối với cấp xã như sau :</w:t>
      </w:r>
    </w:p>
    <w:p>
      <w:pPr>
        <w:jc w:val="center"/>
      </w:pPr>
      <w:r>
        <w:rPr>
          <w:b/>
          <w:i w:val="0"/>
        </w:rPr>
        <w:t>I. NGUYÊN TẮC CHUNG</w:t>
      </w:r>
    </w:p>
    <w:p>
      <w:pPr>
        <w:jc w:val="both"/>
      </w:pPr>
      <w:r>
        <w:rPr>
          <w:b w:val="0"/>
          <w:i w:val="0"/>
        </w:rPr>
        <w:t>Cơ quan cấp xã gửi công văn, giấy tờ qua bưu điện, được trả bưu phí theo chế độ cước khoán, không phải dán tem như trước nữa.</w:t>
      </w:r>
    </w:p>
    <w:p>
      <w:pPr>
        <w:jc w:val="center"/>
      </w:pPr>
      <w:r>
        <w:rPr>
          <w:b/>
          <w:i w:val="0"/>
        </w:rPr>
        <w:t>II. MỨC CƯỚC KHOÁN VÀ CÁCH THU CƯỚC</w:t>
      </w:r>
    </w:p>
    <w:p>
      <w:pPr>
        <w:jc w:val="both"/>
      </w:pPr>
      <w:r>
        <w:rPr>
          <w:b w:val="0"/>
          <w:i w:val="0"/>
        </w:rPr>
        <w:t>Cước khoán quy định cho mỗi xã là 10 (mười) đồng một tháng.</w:t>
      </w:r>
    </w:p>
    <w:p>
      <w:pPr>
        <w:jc w:val="both"/>
      </w:pPr>
      <w:r>
        <w:rPr>
          <w:b w:val="0"/>
          <w:i w:val="0"/>
        </w:rPr>
        <w:t>Số tiền cước khoán này do phòng tài chính huyện trực tiếp thanh toán hàng tháng cho phòng bưu điện cùng huyện, chậm nhất là ngày 10 của mỗi tháng.</w:t>
      </w:r>
    </w:p>
    <w:p>
      <w:pPr>
        <w:jc w:val="both"/>
      </w:pPr>
      <w:r>
        <w:rPr>
          <w:b w:val="0"/>
          <w:i w:val="0"/>
        </w:rPr>
        <w:t>Căn cứ vào những quy định trên Bộ Tài chính và Tổng cục Bưu điện sẽ ra những văn bản hướng dẫn các sở, ty tài chính, bưu điện về phần nghiệp vụ liên quan đến mỗi ngành.</w:t>
      </w:r>
    </w:p>
    <w:p>
      <w:pPr>
        <w:jc w:val="both"/>
      </w:pPr>
      <w:r>
        <w:rPr>
          <w:b w:val="0"/>
          <w:i w:val="0"/>
        </w:rPr>
        <w:t>Thông tư này thay thế các văn bản trước đây quy định về việc trả bưu phí bằng tem đối với cơ quan cấp xã và thi hành kể từ ngày 15 tháng 06 năm 1969.</w:t>
      </w:r>
    </w:p>
    <w:p>
      <w:r>
        <w:rPr>
          <w:b w:val="0"/>
          <w:i w:val="0"/>
        </w:rPr>
        <w:br/>
      </w:r>
      <w:r>
        <w:rPr>
          <w:b w:val="0"/>
          <w:i w:val="0"/>
        </w:rPr>
        <w:br/>
      </w:r>
      <w:r>
        <w:rPr>
          <w:b w:val="0"/>
          <w:i w:val="0"/>
        </w:rPr>
        <w:br/>
      </w:r>
      <w:r>
        <w:rPr>
          <w:b w:val="0"/>
          <w:i w:val="0"/>
        </w:rPr>
        <w:br/>
      </w:r>
      <w:r>
        <w:rPr>
          <w:b w:val="0"/>
          <w:i w:val="0"/>
        </w:rPr>
        <w:br/>
      </w:r>
      <w:r>
        <w:rPr>
          <w:b/>
          <w:i w:val="0"/>
        </w:rPr>
        <w:t xml:space="preserve">K.T TỔNG CỤC TRƯỞNG </w:t>
      </w:r>
      <w:r>
        <w:br/>
      </w:r>
      <w:r>
        <w:rPr>
          <w:b/>
          <w:i w:val="0"/>
        </w:rPr>
        <w:t>TỔNG CỤC BƯU ĐIỆN</w:t>
      </w:r>
      <w:r>
        <w:br/>
      </w:r>
      <w:r>
        <w:rPr>
          <w:b/>
          <w:i w:val="0"/>
        </w:rPr>
        <w:t>TỔNG CỤC PHÓ</w:t>
      </w:r>
      <w:r>
        <w:br/>
      </w:r>
      <w:r>
        <w:rPr>
          <w:b/>
          <w:i/>
        </w:rPr>
        <w:t>(Đã ký)</w:t>
      </w:r>
      <w:r>
        <w:rPr>
          <w:b w:val="0"/>
          <w:i w:val="0"/>
        </w:rPr>
        <w:br/>
      </w:r>
      <w:r>
        <w:rPr>
          <w:b/>
          <w:i w:val="0"/>
        </w:rPr>
        <w:t xml:space="preserve"> </w:t>
      </w:r>
      <w:r>
        <w:rPr>
          <w:b w:val="0"/>
          <w:i w:val="0"/>
        </w:rPr>
        <w:br/>
      </w:r>
      <w:r>
        <w:rPr>
          <w:b/>
          <w:i w:val="0"/>
        </w:rPr>
        <w:t>Nguyễn Văn Đạt</w:t>
      </w:r>
      <w:r>
        <w:rPr>
          <w:b w:val="0"/>
          <w:i w:val="0"/>
        </w:rPr>
        <w:br/>
      </w:r>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TỔNG CỤC TRƯỞNG </w:t>
            </w:r>
            <w:r>
              <w:br/>
            </w:r>
            <w:r>
              <w:rPr>
                <w:b/>
                <w:i w:val="0"/>
              </w:rPr>
              <w:t>TỔNG CỤC BƯU ĐIỆN</w:t>
            </w:r>
            <w:r>
              <w:br/>
            </w:r>
            <w:r>
              <w:rPr>
                <w:b/>
                <w:i w:val="0"/>
              </w:rPr>
              <w:t>TỔNG CỤC PHÓ</w:t>
            </w:r>
            <w:r>
              <w:br/>
            </w:r>
            <w:r>
              <w:rPr>
                <w:b/>
                <w:i/>
              </w:rPr>
              <w:t>(Đã ký)</w:t>
            </w:r>
            <w:r>
              <w:rPr>
                <w:b w:val="0"/>
                <w:i w:val="0"/>
              </w:rPr>
              <w:br/>
            </w:r>
            <w:r>
              <w:rPr>
                <w:b/>
                <w:i w:val="0"/>
              </w:rPr>
              <w:t xml:space="preserve"> </w:t>
            </w:r>
            <w:r>
              <w:rPr>
                <w:b w:val="0"/>
                <w:i w:val="0"/>
              </w:rPr>
              <w:br/>
            </w:r>
            <w:r>
              <w:rPr>
                <w:b/>
                <w:i w:val="0"/>
              </w:rPr>
              <w:t>Nguyễn Văn Đạt</w:t>
            </w:r>
          </w:p>
        </w:tc>
        <w:tc>
          <w:tcPr>
            <w:tcW w:type="dxa" w:w="432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