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04/1999/QĐ-TTg Chuyển doanh nghiệp nhà nước Phân xưởng May bao thuộc Công ty Xi măng Bỉm Sơn thành Công ty cổ phần</w:t>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04/1999/QĐ-TTg</w:t>
        <w:br/>
        <w:t xml:space="preserve">    </w:t>
      </w:r>
      <w:r>
        <w:rPr>
          <w:b w:val="0"/>
          <w:i w:val="0"/>
        </w:rPr>
        <w:br/>
      </w:r>
      <w:r>
        <w:rPr>
          <w:b w:val="0"/>
          <w:i/>
        </w:rPr>
        <w:br/>
        <w:t xml:space="preserve">     Ngày 8 tháng 1 năm 1999</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04/1999/QĐ-TTg</w:t>
        <w:br/>
        <w:t xml:space="preserve">    </w:t>
      </w:r>
      <w:r>
        <w:rPr>
          <w:b w:val="0"/>
          <w:i w:val="0"/>
        </w:rPr>
        <w:br/>
      </w:r>
      <w:r>
        <w:rPr>
          <w:b w:val="0"/>
          <w:i/>
        </w:rPr>
        <w:br/>
        <w:t xml:space="preserve">     Ngày 8 tháng 1 năm 1999</w:t>
        <w:br/>
        <w:t xml:space="preserve">    </w:t>
      </w:r>
      <w:r>
        <w:rPr>
          <w:b w:val="0"/>
          <w:i w:val="0"/>
        </w:rPr>
        <w:br/>
      </w:r>
    </w:p>
    <w:p>
      <w:pPr>
        <w:jc w:val="center"/>
      </w:pPr>
      <w:r>
        <w:rPr>
          <w:b w:val="0"/>
          <w:i w:val="0"/>
        </w:rPr>
        <w:br/>
        <w:t xml:space="preserve">     Số: 04/1999/QĐ-TTg</w:t>
        <w:br/>
        <w:t xml:space="preserve">    </w:t>
      </w:r>
    </w:p>
    <w:p>
      <w:pPr>
        <w:jc w:val="center"/>
      </w:pPr>
      <w:r>
        <w:rPr>
          <w:b w:val="0"/>
          <w:i w:val="0"/>
        </w:rPr>
        <w:br/>
        <w:t xml:space="preserve">     Ngày 8 tháng 1 năm 1999</w:t>
        <w:br/>
        <w:t xml:space="preserve">    </w:t>
      </w:r>
    </w:p>
    <w:p>
      <w:r>
        <w:rPr>
          <w:b w:val="0"/>
          <w:i w:val="0"/>
        </w:rPr>
        <w:br/>
      </w:r>
      <w:r>
        <w:rPr>
          <w:b/>
          <w:i w:val="0"/>
        </w:rPr>
        <w:t>QUYẾT ĐỊNH CỦA THỦ TƯỚNG CHÍNH PHỦ</w:t>
      </w:r>
      <w:r>
        <w:rPr>
          <w:b w:val="0"/>
          <w:i w:val="0"/>
        </w:rPr>
        <w:br/>
      </w:r>
      <w:r>
        <w:rPr>
          <w:b/>
          <w:i/>
        </w:rPr>
        <w:t>Chuyển doanh nghiệp nhà nước Phân xưởng May bao</w:t>
      </w:r>
      <w:r>
        <w:rPr>
          <w:b w:val="0"/>
          <w:i w:val="0"/>
        </w:rPr>
        <w:br/>
      </w:r>
      <w:r>
        <w:rPr>
          <w:b/>
          <w:i/>
        </w:rPr>
        <w:t>thuộc Công ty Xi măng Bỉm Sơn thành Công ty cổ phần</w:t>
      </w:r>
      <w:r>
        <w:rPr>
          <w:b w:val="0"/>
          <w:i w:val="0"/>
        </w:rPr>
        <w:br/>
      </w:r>
      <w:r>
        <w:rPr>
          <w:b w:val="0"/>
          <w:i w:val="0"/>
        </w:rPr>
        <w:t xml:space="preserve"> </w:t>
      </w:r>
      <w:r>
        <w:rPr>
          <w:b w:val="0"/>
          <w:i w:val="0"/>
        </w:rPr>
        <w:br/>
      </w:r>
      <w:r>
        <w:rPr>
          <w:b/>
          <w:i w:val="0"/>
        </w:rPr>
        <w:t>THỦ TƯỚNG CHÍNH PHỦ</w:t>
      </w:r>
      <w:r>
        <w:rPr>
          <w:b w:val="0"/>
          <w:i w:val="0"/>
        </w:rPr>
        <w:br/>
      </w:r>
      <w:r>
        <w:rPr>
          <w:b w:val="0"/>
          <w:i/>
        </w:rPr>
        <w:t>Căn cứ Luật Tổ chức Chính phủ ngày 30 tháng 9 năm 1992;</w:t>
      </w:r>
      <w:r>
        <w:rPr>
          <w:b w:val="0"/>
          <w:i w:val="0"/>
        </w:rPr>
        <w:br/>
      </w:r>
      <w:r>
        <w:rPr>
          <w:b w:val="0"/>
          <w:i/>
        </w:rPr>
        <w:t>Căn cứ Nghị định số 44/1998/NĐ-CP ngày 29 tháng 6 năm 1998;</w:t>
      </w:r>
      <w:r>
        <w:rPr>
          <w:b w:val="0"/>
          <w:i w:val="0"/>
        </w:rPr>
        <w:br/>
      </w:r>
      <w:r>
        <w:rPr>
          <w:b w:val="0"/>
          <w:i/>
        </w:rPr>
        <w:t>Theo đề nghị của Hội đồng quản trị Tổng công ty Xi măng Việt Nam,</w:t>
      </w:r>
      <w:r>
        <w:rPr>
          <w:b w:val="0"/>
          <w:i w:val="0"/>
        </w:rPr>
        <w:br/>
      </w:r>
      <w:r>
        <w:rPr>
          <w:b w:val="0"/>
          <w:i w:val="0"/>
        </w:rPr>
        <w:t xml:space="preserve"> </w:t>
      </w:r>
      <w:r>
        <w:rPr>
          <w:b w:val="0"/>
          <w:i w:val="0"/>
        </w:rPr>
        <w:br/>
      </w:r>
      <w:r>
        <w:rPr>
          <w:b/>
          <w:i w:val="0"/>
        </w:rPr>
        <w:t>QUYẾT ĐỊNH</w:t>
      </w:r>
      <w:r>
        <w:rPr>
          <w:b w:val="0"/>
          <w:i w:val="0"/>
        </w:rPr>
        <w:t>:</w:t>
      </w:r>
      <w:r>
        <w:rPr>
          <w:b w:val="0"/>
          <w:i w:val="0"/>
        </w:rPr>
        <w:br/>
      </w:r>
      <w:r>
        <w:rPr>
          <w:b/>
          <w:i w:val="0"/>
        </w:rPr>
        <w:t xml:space="preserve">Điều 1. </w:t>
      </w:r>
      <w:r>
        <w:rPr>
          <w:b w:val="0"/>
          <w:i w:val="0"/>
        </w:rPr>
        <w:t>Phê duyệt phương án cổ phần hóa doanh nghiệp nhà nước: Phân xưởng May bao của Công ty Xi măng Bỉm Sơn thuộc Tổng công ty Xi măng Việt Nam như sau:</w:t>
      </w:r>
      <w:r>
        <w:rPr>
          <w:b w:val="0"/>
          <w:i w:val="0"/>
        </w:rPr>
        <w:br/>
      </w:r>
      <w:r>
        <w:rPr>
          <w:b w:val="0"/>
          <w:i w:val="0"/>
        </w:rPr>
        <w:t>1. Vốn Điều lệ: 38.000.000.000 đồng.</w:t>
      </w:r>
      <w:r>
        <w:rPr>
          <w:b w:val="0"/>
          <w:i w:val="0"/>
        </w:rPr>
        <w:br/>
      </w:r>
      <w:r>
        <w:rPr>
          <w:b w:val="0"/>
          <w:i w:val="0"/>
        </w:rPr>
        <w:t>Cổ phần Nhà nước: 50% vốn Điều lệ.</w:t>
      </w:r>
      <w:r>
        <w:rPr>
          <w:b w:val="0"/>
          <w:i w:val="0"/>
        </w:rPr>
        <w:br/>
      </w:r>
      <w:r>
        <w:rPr>
          <w:b w:val="0"/>
          <w:i w:val="0"/>
        </w:rPr>
        <w:t>Cổ phần người lao động trong doanh nghiệp: 8% vốn Điều lệ.</w:t>
      </w:r>
      <w:r>
        <w:rPr>
          <w:b w:val="0"/>
          <w:i w:val="0"/>
        </w:rPr>
        <w:br/>
      </w:r>
      <w:r>
        <w:rPr>
          <w:b w:val="0"/>
          <w:i w:val="0"/>
        </w:rPr>
        <w:t>Cổ phần ngoài doanh nghiệp: 42% vốn Điều lệ.</w:t>
      </w:r>
      <w:r>
        <w:rPr>
          <w:b w:val="0"/>
          <w:i w:val="0"/>
        </w:rPr>
        <w:br/>
      </w:r>
      <w:r>
        <w:rPr>
          <w:b w:val="0"/>
          <w:i w:val="0"/>
        </w:rPr>
        <w:t>2. Ưu đãi cho người lao động trong doanh nghiệp:</w:t>
      </w:r>
      <w:r>
        <w:rPr>
          <w:b w:val="0"/>
          <w:i w:val="0"/>
        </w:rPr>
        <w:br/>
      </w:r>
      <w:r>
        <w:rPr>
          <w:b w:val="0"/>
          <w:i w:val="0"/>
        </w:rPr>
        <w:t>Tổng số cổ phần theo giá ưu đãi cho người lao động trong doanh nghiệp: 31.810 cổ phần, phần giá trị được ưu đãi: 954.300.000 đồng.</w:t>
      </w:r>
      <w:r>
        <w:rPr>
          <w:b w:val="0"/>
          <w:i w:val="0"/>
        </w:rPr>
        <w:br/>
      </w:r>
      <w:r>
        <w:rPr>
          <w:b w:val="0"/>
          <w:i w:val="0"/>
        </w:rPr>
        <w:t>3. Doanh nghiệp sau khi cổ phần hóa được sử dụng số tiền bán cổ phần như sau:</w:t>
      </w:r>
      <w:r>
        <w:rPr>
          <w:b w:val="0"/>
          <w:i w:val="0"/>
        </w:rPr>
        <w:br/>
      </w:r>
      <w:r>
        <w:rPr>
          <w:b w:val="0"/>
          <w:i w:val="0"/>
        </w:rPr>
        <w:t>Đào tạo và đào tạo lại cho người lao động: 200.000.000 đồng.</w:t>
      </w:r>
      <w:r>
        <w:rPr>
          <w:b w:val="0"/>
          <w:i w:val="0"/>
        </w:rPr>
        <w:br/>
      </w:r>
      <w:r>
        <w:rPr>
          <w:b/>
          <w:i w:val="0"/>
        </w:rPr>
        <w:t xml:space="preserve">Điều 2. </w:t>
      </w:r>
      <w:r>
        <w:rPr>
          <w:b w:val="0"/>
          <w:i w:val="0"/>
        </w:rPr>
        <w:t>Chuyển doanh nghiệp nhà nước: Phân xưởng May bao của Công ty Xi măng Bỉm Sơn thuộc Tổng công ty Xi măng Việt Nam thành Công ty cổ phần.</w:t>
      </w:r>
      <w:r>
        <w:rPr>
          <w:b w:val="0"/>
          <w:i w:val="0"/>
        </w:rPr>
        <w:br/>
      </w:r>
      <w:r>
        <w:rPr>
          <w:b w:val="0"/>
          <w:i w:val="0"/>
        </w:rPr>
        <w:t>Tên gọi đầy đủ bằng tiếng Việt: Công ty cổ phần Bao bì Bỉm Sơn.</w:t>
      </w:r>
      <w:r>
        <w:rPr>
          <w:b w:val="0"/>
          <w:i w:val="0"/>
        </w:rPr>
        <w:br/>
      </w:r>
      <w:r>
        <w:rPr>
          <w:b w:val="0"/>
          <w:i w:val="0"/>
        </w:rPr>
        <w:t>Tên giao dịch quốc tế: BimSon Packing Company.</w:t>
      </w:r>
      <w:r>
        <w:rPr>
          <w:b w:val="0"/>
          <w:i w:val="0"/>
        </w:rPr>
        <w:br/>
      </w:r>
      <w:r>
        <w:rPr>
          <w:b w:val="0"/>
          <w:i w:val="0"/>
        </w:rPr>
        <w:t>Tên viết tắt: BPC.</w:t>
      </w:r>
      <w:r>
        <w:rPr>
          <w:b w:val="0"/>
          <w:i w:val="0"/>
        </w:rPr>
        <w:br/>
      </w:r>
      <w:r>
        <w:rPr>
          <w:b w:val="0"/>
          <w:i w:val="0"/>
        </w:rPr>
        <w:t>Trụ sở chính: Thị xã Bỉm Sơn, tỉnh Thanh Hóa.</w:t>
      </w:r>
      <w:r>
        <w:rPr>
          <w:b w:val="0"/>
          <w:i w:val="0"/>
        </w:rPr>
        <w:br/>
      </w:r>
      <w:r>
        <w:rPr>
          <w:b/>
          <w:i w:val="0"/>
        </w:rPr>
        <w:t xml:space="preserve">Điều 3. </w:t>
      </w:r>
      <w:r>
        <w:rPr>
          <w:b w:val="0"/>
          <w:i w:val="0"/>
        </w:rPr>
        <w:t>Công ty cổ phần Bao bì Bỉm Sơn có ngành nghề kinh doanh chính:</w:t>
      </w:r>
      <w:r>
        <w:rPr>
          <w:b w:val="0"/>
          <w:i w:val="0"/>
        </w:rPr>
        <w:br/>
      </w:r>
      <w:r>
        <w:rPr>
          <w:b w:val="0"/>
          <w:i w:val="0"/>
        </w:rPr>
        <w:t>Sản xuất và kinh doanh các loại bao bì, các sản phẩm từ nhựa, giấy.</w:t>
      </w:r>
      <w:r>
        <w:rPr>
          <w:b w:val="0"/>
          <w:i w:val="0"/>
        </w:rPr>
        <w:br/>
      </w:r>
      <w:r>
        <w:rPr>
          <w:b/>
          <w:i w:val="0"/>
        </w:rPr>
        <w:t xml:space="preserve">Điều 4. </w:t>
      </w:r>
      <w:r>
        <w:rPr>
          <w:b w:val="0"/>
          <w:i w:val="0"/>
        </w:rPr>
        <w:t>Công ty cổ phần:</w:t>
      </w:r>
      <w:r>
        <w:rPr>
          <w:b w:val="0"/>
          <w:i w:val="0"/>
        </w:rPr>
        <w:br/>
      </w:r>
      <w:r>
        <w:rPr>
          <w:b w:val="0"/>
          <w:i w:val="0"/>
        </w:rPr>
        <w:t>Là pháp nhân theo pháp luật Việt Nam kể từ ngày được cấp đăng ký kinh doanh, thực hiện chế độ hạch toán kinh tế độc lập, có con dấu riêng, được mở tài khoản tại Ngân hàng theo quy định của pháp luật. Hoạt động theo Điều lệ của Công ty cổ phần, Luật Công ty;</w:t>
      </w:r>
      <w:r>
        <w:rPr>
          <w:b w:val="0"/>
          <w:i w:val="0"/>
        </w:rPr>
        <w:br/>
      </w:r>
      <w:r>
        <w:rPr>
          <w:b w:val="0"/>
          <w:i w:val="0"/>
        </w:rPr>
        <w:t>Giám đốc và Kế toán trưởng doanh nghiệp nhà nước có trách nhiệm điều hành công việc quản lý doanh nghiệp đến khi bàn giao toàn bộ cho Hội đồng quản trị và Giám đốc Công ty cổ phần Bao bì Bỉm Sơn.</w:t>
      </w:r>
      <w:r>
        <w:rPr>
          <w:b w:val="0"/>
          <w:i w:val="0"/>
        </w:rPr>
        <w:br/>
      </w:r>
      <w:r>
        <w:rPr>
          <w:b/>
          <w:i w:val="0"/>
        </w:rPr>
        <w:t xml:space="preserve">Điều 5. </w:t>
      </w:r>
      <w:r>
        <w:rPr>
          <w:b w:val="0"/>
          <w:i w:val="0"/>
        </w:rPr>
        <w:t>Quyết định này có hiệu lực thi hành từ ngày ký. Bãi bỏ các quyết định trước đây trái với Quyết định này.</w:t>
      </w:r>
      <w:r>
        <w:rPr>
          <w:b w:val="0"/>
          <w:i w:val="0"/>
        </w:rPr>
        <w:br/>
      </w:r>
      <w:r>
        <w:rPr>
          <w:b w:val="0"/>
          <w:i w:val="0"/>
        </w:rPr>
        <w:t>Giao Hội đồng Quản trị Tổng công ty Xi măng Việt Nam, Giám đốc Công ty Xi măng Bỉm Sơn, Giám đốc Công ty cổ phần Bao bì Bỉm Sơn và các cơ quan có liên quan chịu trách nhiệm thi hành Quyết định này.</w:t>
      </w:r>
      <w:r>
        <w:rPr>
          <w:b w:val="0"/>
          <w:i w:val="0"/>
        </w:rPr>
        <w:br/>
      </w:r>
      <w:r>
        <w:rPr>
          <w:b w:val="0"/>
          <w:i w:val="0"/>
        </w:rPr>
        <w:t xml:space="preserve"> </w:t>
      </w:r>
      <w:r>
        <w:rPr>
          <w:b w:val="0"/>
          <w:i w:val="0"/>
        </w:rPr>
        <w:br/>
      </w:r>
    </w:p>
    <w:p>
      <w:r>
        <w:rPr>
          <w:b w:val="0"/>
          <w:i w:val="0"/>
        </w:rPr>
        <w:br/>
      </w:r>
      <w:r>
        <w:rPr>
          <w:b/>
          <w:i w:val="0"/>
        </w:rP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Ngô Xuân Lộc</w:t>
        <w:br/>
        <w:t xml:space="preserve">    </w:t>
      </w:r>
      <w:r>
        <w:rPr>
          <w:b/>
          <w:i w:val="0"/>
        </w:rPr>
        <w:br/>
      </w:r>
      <w:r>
        <w:rPr>
          <w:b w:val="0"/>
          <w:i w:val="0"/>
        </w:rPr>
        <w:br/>
      </w:r>
    </w:p>
    <w:p>
      <w:pPr>
        <w:jc w:val="center"/>
      </w:pPr>
      <w:r>
        <w:rPr>
          <w:b w:val="0"/>
          <w:i w:val="0"/>
        </w:rPr>
        <w:br/>
      </w:r>
      <w:r>
        <w:rPr>
          <w:b/>
          <w:i w:val="0"/>
        </w:rPr>
        <w:br/>
        <w:t xml:space="preserve">     PHÓ THỦ TƯỚNG CHÍNH PHỦ</w:t>
        <w:br/>
        <w:t xml:space="preserve">    </w:t>
      </w:r>
      <w:r>
        <w:rPr>
          <w:b w:val="0"/>
          <w:i w:val="0"/>
        </w:rPr>
        <w:br/>
      </w:r>
      <w:r>
        <w:rPr>
          <w:b/>
          <w:i/>
        </w:rPr>
        <w:br/>
        <w:t xml:space="preserve">     (Đã ký)</w:t>
        <w:br/>
        <w:t xml:space="preserve">    </w:t>
      </w:r>
      <w:r>
        <w:rPr>
          <w:b w:val="0"/>
          <w:i w:val="0"/>
        </w:rPr>
        <w:br/>
      </w:r>
      <w:r>
        <w:rPr>
          <w:b/>
          <w:i w:val="0"/>
        </w:rPr>
        <w:br/>
        <w:t xml:space="preserve">     Ngô Xuân Lộc</w:t>
        <w:br/>
        <w:t xml:space="preserve">    </w:t>
      </w:r>
      <w:r>
        <w:rPr>
          <w:b w:val="0"/>
          <w:i w:val="0"/>
        </w:rPr>
        <w:br/>
      </w:r>
    </w:p>
    <w:p>
      <w:r>
        <w:rPr>
          <w:b w:val="0"/>
          <w:i w:val="0"/>
        </w:rPr>
        <w:br/>
        <w:t xml:space="preserve">     PHÓ THỦ TƯỚNG CHÍNH PHỦ</w:t>
        <w:br/>
        <w:t xml:space="preserve">    </w:t>
      </w:r>
    </w:p>
    <w:p>
      <w:r>
        <w:rPr>
          <w:b w:val="0"/>
          <w:i w:val="0"/>
        </w:rPr>
        <w:br/>
        <w:t xml:space="preserve">     (Đã ký)</w:t>
        <w:br/>
        <w:t xml:space="preserve">    </w:t>
      </w:r>
    </w:p>
    <w:p>
      <w:r>
        <w:rPr>
          <w:b w:val="0"/>
          <w:i w:val="0"/>
        </w:rPr>
        <w:br/>
        <w:t xml:space="preserve">     Ngô Xuân Lộc</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