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04/2008/QĐ-BGTVT Về việc bãi bỏ Quyết định số 463/2003/QĐ-BGTVT ngày 21/02/2003.</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04/2008/QĐ-BGTVT</w:t>
      </w:r>
      <w:r>
        <w:rPr>
          <w:b w:val="0"/>
          <w:i w:val="0"/>
        </w:rPr>
        <w:br/>
      </w:r>
      <w:r>
        <w:rPr>
          <w:b w:val="0"/>
          <w:i w:val="0"/>
        </w:rPr>
        <w:br/>
      </w:r>
      <w:r>
        <w:rPr>
          <w:b w:val="0"/>
          <w:i/>
        </w:rPr>
        <w:br/>
      </w:r>
      <w:r>
        <w:rPr>
          <w:b w:val="0"/>
          <w:i/>
        </w:rPr>
        <w:t>Hà Nội, ngày 17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04/2008/QĐ-BGTVT</w:t>
      </w:r>
      <w:r>
        <w:rPr>
          <w:b w:val="0"/>
          <w:i w:val="0"/>
        </w:rPr>
        <w:br/>
      </w:r>
      <w:r>
        <w:rPr>
          <w:b w:val="0"/>
          <w:i w:val="0"/>
        </w:rPr>
        <w:br/>
      </w:r>
      <w:r>
        <w:rPr>
          <w:b w:val="0"/>
          <w:i/>
        </w:rPr>
        <w:br/>
      </w:r>
      <w:r>
        <w:rPr>
          <w:b w:val="0"/>
          <w:i/>
        </w:rPr>
        <w:t>Hà Nội, ngày 17 tháng 3 năm 2008</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04/2008/QĐ-BGTVT</w:t>
      </w:r>
      <w:r>
        <w:rPr>
          <w:b w:val="0"/>
          <w:i w:val="0"/>
        </w:rPr>
        <w:br/>
      </w:r>
      <w:r>
        <w:rPr>
          <w:b w:val="0"/>
          <w:i w:val="0"/>
        </w:rPr>
        <w:br/>
      </w:r>
      <w:r>
        <w:rPr>
          <w:b w:val="0"/>
          <w:i/>
        </w:rPr>
        <w:br/>
      </w:r>
      <w:r>
        <w:rPr>
          <w:b w:val="0"/>
          <w:i/>
        </w:rPr>
        <w:t>Hà Nội, ngày 17 tháng 3 năm 2008</w:t>
      </w:r>
      <w:r>
        <w:rPr>
          <w:b w:val="0"/>
          <w:i/>
        </w:rPr>
        <w:br/>
      </w:r>
      <w:r>
        <w:rPr>
          <w:b w:val="0"/>
          <w:i w:val="0"/>
        </w:rPr>
        <w:br/>
      </w:r>
    </w:p>
    <w:p>
      <w:pPr>
        <w:jc w:val="center"/>
      </w:pPr>
      <w:r>
        <w:rPr>
          <w:b w:val="0"/>
          <w:i w:val="0"/>
        </w:rPr>
        <w:br/>
      </w:r>
      <w:r>
        <w:rPr>
          <w:b w:val="0"/>
          <w:i w:val="0"/>
        </w:rPr>
        <w:t>Số: 04/2008/QĐ-BGTVT</w:t>
      </w:r>
      <w:r>
        <w:rPr>
          <w:b w:val="0"/>
          <w:i w:val="0"/>
        </w:rPr>
        <w:br/>
      </w:r>
    </w:p>
    <w:p>
      <w:pPr>
        <w:jc w:val="center"/>
      </w:pPr>
      <w:r>
        <w:rPr>
          <w:b w:val="0"/>
          <w:i w:val="0"/>
        </w:rPr>
        <w:br/>
      </w:r>
      <w:r>
        <w:rPr>
          <w:b w:val="0"/>
          <w:i w:val="0"/>
        </w:rPr>
        <w:t>Hà Nội, ngày 17 tháng 3 năm 2008</w:t>
      </w:r>
      <w:r>
        <w:rPr>
          <w:b w:val="0"/>
          <w:i w:val="0"/>
        </w:rPr>
        <w:br/>
      </w:r>
    </w:p>
    <w:p>
      <w:pPr>
        <w:jc w:val="center"/>
      </w:pPr>
      <w:r>
        <w:rPr>
          <w:b/>
          <w:i w:val="0"/>
        </w:rPr>
        <w:t>QUYẾT ĐỊNH</w:t>
      </w:r>
    </w:p>
    <w:p>
      <w:pPr>
        <w:jc w:val="center"/>
      </w:pPr>
      <w:r>
        <w:rPr>
          <w:b/>
          <w:i w:val="0"/>
        </w:rPr>
        <w:t>Về việc bãi bỏ Quyết định số 463/2003/QĐ-BGTVT ngày 21/02/2003.</w:t>
      </w:r>
    </w:p>
    <w:p>
      <w:pPr>
        <w:jc w:val="center"/>
      </w:pPr>
      <w:r>
        <w:rPr>
          <w:b/>
          <w:i w:val="0"/>
        </w:rPr>
        <w:t>_________________________</w:t>
      </w:r>
    </w:p>
    <w:p>
      <w:pPr>
        <w:jc w:val="center"/>
      </w:pPr>
      <w:r>
        <w:rPr>
          <w:b/>
          <w:i w:val="0"/>
        </w:rPr>
        <w:t>BỘ TRƯỞNG BỘ GIAO THÔNG VẬN TẢI</w:t>
      </w:r>
    </w:p>
    <w:p>
      <w:pPr>
        <w:jc w:val="both"/>
      </w:pPr>
      <w:r>
        <w:rPr>
          <w:b w:val="0"/>
          <w:i w:val="0"/>
        </w:rPr>
        <w:t>Căn cứ Luật Ban hành văn bản quy phạm pháp luật năm 1997 và Luật sửa đổi, bổ sung một số điều của Luật Ban hành văn bản quy phạm pháp luật năm 2002;</w:t>
      </w:r>
    </w:p>
    <w:p>
      <w:pPr>
        <w:jc w:val="both"/>
      </w:pPr>
      <w:r>
        <w:rPr>
          <w:b w:val="0"/>
          <w:i w:val="0"/>
        </w:rPr>
        <w:t>Căn cứ Nghị định số 161/2005/NĐ-CP ngày 27/12/2005 của Chính phủ quy định chi tiết một số điều của Luật Ban hành văn bản quy phạm pháp luật và Luật sửa đổi, bổ sung một số điều của Luật Ban hành văn bản quy phạm pháp luật;</w:t>
      </w:r>
    </w:p>
    <w:p>
      <w:pPr>
        <w:jc w:val="both"/>
      </w:pPr>
      <w:r>
        <w:rPr>
          <w:b w:val="0"/>
          <w:i w:val="0"/>
        </w:rPr>
        <w:t>Căn cứ Nghị định số 135/2003/NĐ-CP ngày 14/11/2003 của Chính phủ về kiểm tra và xử lý văn bản quy phạm pháp luật;</w:t>
      </w:r>
    </w:p>
    <w:p>
      <w:pPr>
        <w:jc w:val="both"/>
      </w:pPr>
      <w:r>
        <w:rPr>
          <w:b w:val="0"/>
          <w:i w:val="0"/>
        </w:rPr>
        <w:t>Căn cứ Nghị định số 34/2003/NĐ-CP ngày 04/4/2003 của Chính phủ quy định chức năng, nhiệm vụ, quyền hạn và cơ cấu tổ chức của Bộ Giao thông vận tải;</w:t>
      </w:r>
    </w:p>
    <w:p>
      <w:pPr>
        <w:jc w:val="both"/>
      </w:pPr>
      <w:r>
        <w:rPr>
          <w:b w:val="0"/>
          <w:i w:val="0"/>
        </w:rPr>
        <w:t>Theo đề nghị của Vụ trưởng Vụ Kế hoạch đầu tư.</w:t>
      </w:r>
    </w:p>
    <w:p>
      <w:pPr>
        <w:jc w:val="center"/>
      </w:pPr>
      <w:r>
        <w:rPr>
          <w:b/>
          <w:i w:val="0"/>
        </w:rPr>
        <w:t>QUYẾT ĐỊNH:</w:t>
      </w:r>
    </w:p>
    <w:p>
      <w:r>
        <w:rPr>
          <w:b/>
          <w:i w:val="0"/>
        </w:rPr>
        <w:t xml:space="preserve">Điều 1. </w:t>
      </w:r>
      <w:r>
        <w:rPr>
          <w:b w:val="0"/>
          <w:i w:val="0"/>
        </w:rPr>
        <w:t>Bãi bỏ Quyết định số 463/2003/QĐ-BGTVT ngày 21 tháng 02 năm 2003 của Bộ trưởng Bộ Giao thông vận tải về việc Ban hành Quy định về phân công, phân cấp quản lý các dự án ODA thuộc Bộ Giao thông vận tải.</w:t>
      </w:r>
    </w:p>
    <w:p>
      <w:r>
        <w:rPr>
          <w:b/>
          <w:i w:val="0"/>
        </w:rPr>
        <w:t xml:space="preserve">Điều 2. </w:t>
      </w:r>
      <w:r>
        <w:rPr>
          <w:b w:val="0"/>
          <w:i w:val="0"/>
        </w:rPr>
        <w:t>Quyết định này có hiệu lực sau 15, kể từ ngày đăng Công báo.</w:t>
      </w:r>
    </w:p>
    <w:p>
      <w:r>
        <w:rPr>
          <w:b/>
          <w:i w:val="0"/>
        </w:rPr>
        <w:t xml:space="preserve">Điều 3. </w:t>
      </w:r>
      <w:r>
        <w:rPr>
          <w:b w:val="0"/>
          <w:i w:val="0"/>
        </w:rPr>
        <w:t>Các ông Chánh văn phòng Bộ, Chánh thanh tra Bộ, Vụ trưởng các Vụ thuộc Bộ, Cục trưởng các Cục thuộc Bộ; Chủ tịch hội đồng quản trị các Tổng công ty: Đường sắt Việt Nam, Hàng không Việt Nam, Hàng hải Việt Nam; Tổng giám đốc các Ban quản lý dự án; Giám đốc các Ban quản lý dự án và thủ trưởng các đơn vị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Hồ Nghĩa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Hồ Nghĩa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Hồ Nghĩa Dũng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Hồ Nghĩa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