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04/2024/QĐ-UBND Giá bán lẻ nước sạch sinh hoạt của Công ty cổ phần Cấp nước và Xây dựng Di Linh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QUYẾT ĐỊNH</w:t>
      </w:r>
    </w:p>
    <w:p>
      <w:pPr>
        <w:jc w:val="center"/>
      </w:pPr>
      <w:r>
        <w:rPr>
          <w:b/>
          <w:i w:val="0"/>
        </w:rPr>
        <w:t xml:space="preserve">Giá bán lẻ nước sạch sinh hoạt </w:t>
      </w:r>
    </w:p>
    <w:p>
      <w:pPr>
        <w:jc w:val="center"/>
      </w:pPr>
      <w:r>
        <w:rPr>
          <w:b/>
          <w:i w:val="0"/>
        </w:rPr>
        <w:t>của Công ty cổ phần Cấp nước và Xây dựng Di Linh</w:t>
      </w:r>
    </w:p>
    <w:p>
      <w:pPr>
        <w:jc w:val="center"/>
      </w:pPr>
      <w:r>
        <w:rPr>
          <w:b/>
          <w:i w:val="0"/>
        </w:rPr>
        <w:t>--------------------------------</w:t>
      </w:r>
    </w:p>
    <w:p>
      <w:pPr>
        <w:jc w:val="center"/>
      </w:pPr>
      <w:r>
        <w:rPr>
          <w:b/>
          <w:i w:val="0"/>
        </w:rPr>
        <w:t>ỦY BAN NHÂN DÂN TỈNH LÂM ĐỒNG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cứ Luật Giá ngày 20 tháng 6 năm 2012;</w:t>
      </w:r>
    </w:p>
    <w:p>
      <w:pPr>
        <w:jc w:val="both"/>
      </w:pPr>
      <w:r>
        <w:rPr>
          <w:b w:val="0"/>
          <w:i/>
        </w:rPr>
        <w:t xml:space="preserve">Căn cứ Nghị định số 177/2013/NĐ-CP ngày 14 tháng 11 năm 2013 của Chính phủ quy định chi tiết và hướng dẫn thi hành một số điều của Luật Giá; </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44/2021/TT-BTC ngày 18 tháng 6 năm 2021 của Bộ trưởng Bộ Tài chính quy định về khung giá, nguyên tắc, phương pháp xác định giá nước sạch sinh hoạt;</w:t>
      </w:r>
    </w:p>
    <w:p>
      <w:pPr>
        <w:jc w:val="both"/>
      </w:pPr>
      <w:r>
        <w:rPr>
          <w:b w:val="0"/>
          <w:i/>
        </w:rPr>
        <w:t>Theo đề nghị của Giám đốc Sở Tài chính.</w:t>
      </w:r>
      <w:r>
        <w:rPr>
          <w:b w:val="0"/>
          <w:i/>
        </w:rPr>
        <w:t xml:space="preserve">  </w:t>
      </w:r>
    </w:p>
    <w:p>
      <w:pPr>
        <w:jc w:val="center"/>
      </w:pPr>
      <w:r>
        <w:rPr>
          <w:b/>
          <w:i w:val="0"/>
        </w:rPr>
        <w:t>QUYẾT ĐỊNH:</w:t>
      </w:r>
    </w:p>
    <w:p>
      <w:pPr>
        <w:jc w:val="both"/>
      </w:pPr>
      <w:r>
        <w:rPr>
          <w:b/>
          <w:i w:val="0"/>
        </w:rPr>
        <w:t>Điều 1. Quy định mức giá bán lẻ nước sạch sinh hoạt của Công ty cổ phần Cấp nước và Xây dựng Di Linh cung cấp (đã bao gồm thuế giá trị gia tăng) theo nhóm khách hàng và lượng nước sạch sử dụng/tháng,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rPr>
                <w:b w:val="0"/>
                <w:i w:val="0"/>
              </w:rPr>
              <w:br/>
            </w:r>
            <w:r>
              <w:rPr>
                <w:b/>
                <w:i w:val="0"/>
              </w:rPr>
              <w:t>TT</w:t>
            </w:r>
          </w:p>
        </w:tc>
        <w:tc>
          <w:tcPr>
            <w:tcW w:type="dxa" w:w="2880"/>
          </w:tcPr>
          <w:p>
            <w:r>
              <w:rPr>
                <w:b w:val="0"/>
                <w:i w:val="0"/>
              </w:rPr>
              <w:br/>
            </w:r>
            <w:r>
              <w:rPr>
                <w:b/>
                <w:i w:val="0"/>
              </w:rPr>
              <w:t>Nhóm khách hàng và lượng nước sạch sử dụng/tháng</w:t>
            </w:r>
          </w:p>
        </w:tc>
        <w:tc>
          <w:tcPr>
            <w:tcW w:type="dxa" w:w="2880"/>
          </w:tcPr>
          <w:p>
            <w:r>
              <w:rPr>
                <w:b w:val="0"/>
                <w:i w:val="0"/>
              </w:rPr>
              <w:br/>
            </w:r>
            <w:r>
              <w:rPr>
                <w:b w:val="0"/>
                <w:i w:val="0"/>
              </w:rPr>
              <w:t>Mức giá</w:t>
            </w:r>
            <w:r>
              <w:rPr>
                <w:b w:val="0"/>
                <w:i w:val="0"/>
              </w:rPr>
              <w:br/>
            </w:r>
            <w:r>
              <w:rPr>
                <w:b w:val="0"/>
                <w:i w:val="0"/>
              </w:rPr>
              <w:t>(đồng/m3)</w:t>
            </w:r>
          </w:p>
        </w:tc>
      </w:tr>
    </w:tbl>
    <w:p>
      <w:r>
        <w:rPr>
          <w:b/>
          <w:i w:val="0"/>
        </w:rPr>
        <w:t>Điều 2. Hiệu lực thi hành</w:t>
      </w:r>
    </w:p>
    <w:p>
      <w:r>
        <w:rPr>
          <w:b w:val="0"/>
          <w:i w:val="0"/>
        </w:rPr>
        <w:t>Quyết định này có hiệu lực thi hành kể từ ngày 01 tháng 02 năm 2024 và thay thế Quyết định số 36/2019/QĐ-UBND ngày 19 tháng 8 năm 2019 của Ủy ban nhân dân tỉnh Lâm Đồng về việc quy định giá tiêu thụ nước sạch sinh hoạt của Công ty cổ phần Cấp nước và Xây dựng Di Linh.</w:t>
      </w:r>
    </w:p>
    <w:p>
      <w:r>
        <w:rPr>
          <w:b/>
          <w:i w:val="0"/>
        </w:rPr>
        <w:t xml:space="preserve">Điều 3. Tổ chức thực hiện </w:t>
      </w:r>
    </w:p>
    <w:p>
      <w:r>
        <w:rPr>
          <w:b w:val="0"/>
          <w:i w:val="0"/>
        </w:rPr>
        <w:t>1. Sở Tài chính phối hợp với các cơ quan, đơn vị có liên quan hướng dẫn, kiểm tra việc thực hiện Quyết định này.</w:t>
      </w:r>
    </w:p>
    <w:p>
      <w:r>
        <w:rPr>
          <w:b w:val="0"/>
          <w:i w:val="0"/>
        </w:rPr>
        <w:t>2. Công ty cổ phần Cấp nước và Xây dựng Di Linh cung cấp nước sạch sinh hoạt cho các nhóm khách hàng đúng tiêu chuẩn và chất lượng theo quy định hiện hành.</w:t>
      </w:r>
    </w:p>
    <w:p>
      <w:r>
        <w:rPr>
          <w:b w:val="0"/>
          <w:i w:val="0"/>
        </w:rPr>
        <w:t>3. Chánh Văn phòng Ủy ban nhân dân tỉnh; Giám đốc các Sở: Tài chính, Xây dựng, Nông nghiệp và Phát triển nông thôn; Chủ tịch Ủy ban nhân dân huyện Di Linh; Giám đốc Công ty cổ phần Cấp nước và Xây dựng Di Linh; Thủ trưởng các cơ quan,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(Đã ký)</w:t>
            </w:r>
            <w:r>
              <w:rPr>
                <w:b w:val="0"/>
                <w:i w:val="0"/>
              </w:rPr>
              <w:br/>
            </w:r>
            <w:r>
              <w:rPr>
                <w:b w:val="0"/>
                <w:i w:val="0"/>
              </w:rPr>
              <w:t xml:space="preserve"> </w:t>
            </w:r>
            <w:r>
              <w:rPr>
                <w:b w:val="0"/>
                <w:i w:val="0"/>
              </w:rPr>
              <w:br/>
            </w:r>
            <w:r>
              <w:rPr>
                <w:b/>
                <w:i w:val="0"/>
              </w:rPr>
              <w:t>Võ Ngọc 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