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04/2026/TT-NHNN Hướng dẫn một số nội dung về hoạt động bảo hiểm tiền gửi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t>VIỆT NAM</w:t>
            </w:r>
            <w:r>
              <w:rPr>
                <w:b w:val="0"/>
                <w:i w:val="0"/>
              </w:rPr>
              <w:br/>
            </w:r>
            <w:r>
              <w:rPr>
                <w:b w:val="0"/>
                <w:i w:val="0"/>
              </w:rPr>
              <w:t>Số: 04/2026/TT-NHNN</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Hà Nội, ngày 31 tháng 3 năm 2026</w:t>
            </w:r>
          </w:p>
        </w:tc>
      </w:tr>
    </w:tbl>
    <w:p>
      <w:r>
        <w:rPr>
          <w:b/>
          <w:i w:val="0"/>
        </w:rPr>
        <w:t>THÔNG TƯ</w:t>
      </w:r>
    </w:p>
    <w:p>
      <w:r>
        <w:rPr>
          <w:b/>
          <w:i w:val="0"/>
        </w:rPr>
        <w:t>Hướng dẫn một số nội dung về hoạt động bảo hiểm tiền gửi</w:t>
      </w:r>
    </w:p>
    <w:p>
      <w:r>
        <w:rPr>
          <w:b w:val="0"/>
          <w:i/>
        </w:rPr>
        <w:t>Căn cứ Luật Ngân hàng Nhà nước Việt Nam số 46/2010/QH12;</w:t>
      </w:r>
    </w:p>
    <w:p>
      <w:r>
        <w:rPr>
          <w:b w:val="0"/>
          <w:i/>
        </w:rPr>
        <w:t>Căn cứ Luật Bảo hiểm tiền gửi số 111/2025/QH15;</w:t>
      </w:r>
    </w:p>
    <w:p>
      <w:r>
        <w:rPr>
          <w:b w:val="0"/>
          <w:i/>
        </w:rPr>
        <w:t xml:space="preserve">Căn cứ Nghị định số 26/2025/NĐ-CP của Chính phủ quy định chức năng, nhiệm vụ, quyền hạn và cơ cấu tổ chức của Ngân hàng Nhà nước Việt Nam; </w:t>
      </w:r>
    </w:p>
    <w:p>
      <w:r>
        <w:rPr>
          <w:b w:val="0"/>
          <w:i/>
        </w:rPr>
        <w:t>Theo đề nghị của Cục trưởng Cục An toàn hệ thống các tổ chức tín dụng;</w:t>
      </w:r>
    </w:p>
    <w:p>
      <w:r>
        <w:rPr>
          <w:b w:val="0"/>
          <w:i/>
        </w:rPr>
        <w:t>Thống đốc Ngân hàng Nhà nước Việt Nam ban hành Thông tư hướng dẫn một số nội dung về hoạt động bảo hiểm tiền gửi</w:t>
      </w:r>
      <w:r>
        <w:rPr>
          <w:b w:val="0"/>
          <w:i/>
        </w:rPr>
        <w:t>.</w:t>
      </w:r>
    </w:p>
    <w:p>
      <w:pPr>
        <w:jc w:val="center"/>
      </w:pPr>
      <w:r>
        <w:rPr>
          <w:b/>
          <w:i w:val="0"/>
        </w:rPr>
        <w:t>Chương I</w:t>
      </w:r>
    </w:p>
    <w:p>
      <w:pPr>
        <w:jc w:val="center"/>
      </w:pPr>
      <w:r>
        <w:rPr>
          <w:b/>
          <w:i w:val="0"/>
        </w:rPr>
        <w:t>QUY ĐỊNH CHUNG</w:t>
      </w:r>
    </w:p>
    <w:p>
      <w:r>
        <w:rPr>
          <w:b/>
          <w:i w:val="0"/>
        </w:rPr>
        <w:t>Điều 1. Phạm vi điều chỉnh</w:t>
      </w:r>
    </w:p>
    <w:p>
      <w:r>
        <w:rPr>
          <w:b w:val="0"/>
          <w:i w:val="0"/>
        </w:rPr>
        <w:t>Thông tư này quy định chi tiết khoản 5 Điều 14, khoản 1 Điều 19, khoản 8 Điều 19, khoản 3 Điều 29, khoản 3 Điều 33 Luật Bảo hiểm tiền gửi; quy định liên quan đến: phí bảo hiểm tiền gửi, việc trả tiền bảo hiểm, mở và sử dụng tài khoản của Bảo hiểm tiền gửi Việt Nam tại tổ chức cung ứng dịch vụ thanh toán và hoạt động kiểm tra theo kế hoạch, nội dung do Ngân hàng Nhà nước Việt Nam (sau đây gọi là Ngân hàng Nhà nước) giao.</w:t>
      </w:r>
    </w:p>
    <w:p>
      <w:r>
        <w:rPr>
          <w:b/>
          <w:i w:val="0"/>
        </w:rPr>
        <w:t>Điều 2. Đối tượng áp dụng</w:t>
      </w:r>
    </w:p>
    <w:p>
      <w:r>
        <w:rPr>
          <w:b w:val="0"/>
          <w:i w:val="0"/>
        </w:rPr>
        <w:t>Thông tư này áp dụng đối với các đối tượng sau:</w:t>
      </w:r>
    </w:p>
    <w:p>
      <w:r>
        <w:rPr>
          <w:b w:val="0"/>
          <w:i w:val="0"/>
        </w:rPr>
        <w:t>1. Bảo hiểm tiền gửi Việt Nam.</w:t>
      </w:r>
    </w:p>
    <w:p>
      <w:r>
        <w:rPr>
          <w:b w:val="0"/>
          <w:i w:val="0"/>
        </w:rPr>
        <w:t>2. Tổ chức tham gia bảo hiểm tiền gửi bao gồm: ngân hàng thương mại, chi nhánh ngân hàng nước ngoài, ngân hàng hợp tác xã, quỹ tín dụng nhân dân và tổ chức tài chính vi mô.</w:t>
      </w:r>
    </w:p>
    <w:p>
      <w:r>
        <w:rPr>
          <w:b w:val="0"/>
          <w:i w:val="0"/>
        </w:rPr>
        <w:t>3. Người được bảo hiểm tiền gửi.</w:t>
      </w:r>
    </w:p>
    <w:p>
      <w:r>
        <w:rPr>
          <w:b w:val="0"/>
          <w:i w:val="0"/>
        </w:rPr>
        <w:t>4. Các tổ chức, cá nhân khác có liên quan đến hoạt động bảo hiểm tiền gửi.</w:t>
      </w:r>
    </w:p>
    <w:p>
      <w:pPr>
        <w:jc w:val="center"/>
      </w:pPr>
      <w:r>
        <w:rPr>
          <w:b/>
          <w:i w:val="0"/>
        </w:rPr>
        <w:t>Chương II</w:t>
      </w:r>
    </w:p>
    <w:p>
      <w:pPr>
        <w:jc w:val="center"/>
      </w:pPr>
      <w:r>
        <w:rPr>
          <w:b/>
          <w:i w:val="0"/>
        </w:rPr>
        <w:t>HOẠT ĐỘNG BẢO HIỂM TIỀN GỬI</w:t>
      </w:r>
    </w:p>
    <w:p>
      <w:r>
        <w:rPr>
          <w:b/>
          <w:i w:val="0"/>
        </w:rPr>
        <w:t>Điều 3. Thời hạn nộp phí bảo hiểm tiền gửi</w:t>
      </w:r>
    </w:p>
    <w:p>
      <w:r>
        <w:rPr>
          <w:b w:val="0"/>
          <w:i w:val="0"/>
        </w:rPr>
        <w:t>1. Phí bảo hiểm tiền gửi được tính và nộp định kỳ hằng quý trong năm tài chính. Tổ chức tham gia bảo hiểm tiền gửi phải tính và nộp phí bảo hiểm tiền gửi cho Bảo hiểm tiền gửi Việt Nam chậm nhất vào ngày 20 của tháng đầu tiên quý thu phí. Trường hợp ngày cuối cùng của thời hạn nộp phí trùng vào ngày lễ, tết, ngày nghỉ cuối tuần thì tổ chức tham gia bảo hiểm tiền gửi được nộp vào ngày làm việc tiếp theo ngay sau ngày nghỉ lễ, tết, ngày nghỉ cuối tuần đó.</w:t>
      </w:r>
    </w:p>
    <w:p>
      <w:r>
        <w:rPr>
          <w:b w:val="0"/>
          <w:i w:val="0"/>
        </w:rPr>
        <w:t>2. Trong thời hạn 15 ngày kể từ ngày hết hạn nộp phí bảo hiểm tiền gửi quy định tại khoản 1 Điều này, Bảo hiểm tiền gửi Việt Nam có trách nhiệm thông báo bằng văn bản về việc tính và nộp phí bảo hiểm tiền gửi cho tổ chức tham gia bảo hiểm tiền gửi, trong đó nêu rõ nội dung truy thu hoặc thoái thu (nếu có). Tổ chức tham gia bảo hiểm tiền gửi có trách nhiệm nộp số phí còn thiếu, Bảo hiểm tiền gửi Việt Nam có trách nhiệm trả lại số phí nộp thừa (nếu có) trong thời hạn tối đa 15 ngày kể từ ngày có thông báo.</w:t>
      </w:r>
    </w:p>
    <w:p>
      <w:r>
        <w:rPr>
          <w:b w:val="0"/>
          <w:i w:val="0"/>
        </w:rPr>
        <w:t>3. Trường hợp phát hiện sự thiếu chính xác trong việc tính và nộp phí bảo hiểm tiền gửi, Bảo hiểm tiền gửi Việt Nam thực hiện theo quy định tại khoản 2 Điều 20 Luật Bảo hiểm tiền gửi.</w:t>
      </w:r>
    </w:p>
    <w:p>
      <w:r>
        <w:rPr>
          <w:b/>
          <w:i w:val="0"/>
        </w:rPr>
        <w:t>Điều 4. Tính phí bảo hiểm tiền gửi</w:t>
      </w:r>
    </w:p>
    <w:p>
      <w:r>
        <w:rPr>
          <w:b w:val="0"/>
          <w:i w:val="0"/>
        </w:rPr>
        <w:t>1. Phí bảo hiểm tiền gửi được tính trên số dư tiền gửi bình quân của các loại tiền gửi được bảo hiểm tại tổ chức tham gia bảo hiểm tiền gửi theo mức sau đây:</w:t>
      </w:r>
    </w:p>
    <w:p>
      <w:r>
        <w:rPr>
          <w:b w:val="0"/>
          <w:i w:val="0"/>
        </w:rPr>
        <w:t>a) 0,15%/năm, trừ trường hợp quy định tại điểm b, c khoản này;</w:t>
      </w:r>
    </w:p>
    <w:p>
      <w:r>
        <w:rPr>
          <w:b w:val="0"/>
          <w:i w:val="0"/>
        </w:rPr>
        <w:t>b) 0,1%/năm đối với quỹ tín dụng nhân dân;</w:t>
      </w:r>
    </w:p>
    <w:p>
      <w:r>
        <w:rPr>
          <w:b w:val="0"/>
          <w:i w:val="0"/>
        </w:rPr>
        <w:t>c) Mức phí khác theo quyết định của Thống đốc Ngân hàng Nhà nước tại khoản 11 Điều này.</w:t>
      </w:r>
    </w:p>
    <w:p>
      <w:r>
        <w:rPr>
          <w:b w:val="0"/>
          <w:i w:val="0"/>
        </w:rPr>
        <w:t>2. Cơ sở tính phí bảo hiểm tiền gửi của quý thu phí là toàn bộ số dư tiền gửi bình quân của các loại tiền gửi được bảo hiểm tại tổ chức tham gia bảo hiểm tiền gửi của quý trước liền kề quý thu phí.</w:t>
      </w:r>
    </w:p>
    <w:p>
      <w:r>
        <w:rPr>
          <w:b w:val="0"/>
          <w:i w:val="0"/>
        </w:rPr>
        <w:t>3. Số phí bảo hiểm tiền gửi phải nộp của quý thu phí được tính bằng công thức sau:</w:t>
      </w:r>
    </w:p>
    <w:p>
      <w:r>
        <w:rPr>
          <w:b w:val="0"/>
          <w:i w:val="0"/>
        </w:rPr>
        <w:t>Trong đó:</w:t>
      </w:r>
    </w:p>
    <w:p>
      <w:r>
        <w:rPr>
          <w:b w:val="0"/>
          <w:i w:val="0"/>
        </w:rPr>
        <w:t>- P: là số phí bảo hiểm tiền gửi phải nộp của quý thu phí.</w:t>
      </w:r>
    </w:p>
    <w:p>
      <w:r>
        <w:rPr>
          <w:b w:val="0"/>
          <w:i w:val="0"/>
        </w:rPr>
        <w:t>- S0: là số dư tiền gửi được bảo hiểm đầu tháng thứ nhất của quý trước liền kề quý thu phí.</w:t>
      </w:r>
    </w:p>
    <w:p>
      <w:r>
        <w:rPr>
          <w:b w:val="0"/>
          <w:i w:val="0"/>
        </w:rPr>
        <w:t>- S1, S2, S3: là số dư tiền gửi được bảo hiểm cuối các tháng thứ nhất, tháng thứ hai, tháng thứ ba của quý trước liền kề quý thu phí.</w:t>
      </w:r>
    </w:p>
    <w:p>
      <w:r>
        <w:rPr>
          <w:b w:val="0"/>
          <w:i w:val="0"/>
        </w:rPr>
        <w:t>- m: là mức phí bảo hiểm tiền gửi phải nộp theo khoản 1 Điều này.</w:t>
      </w:r>
    </w:p>
    <w:p>
      <w:r>
        <w:rPr>
          <w:b w:val="0"/>
          <w:i w:val="0"/>
        </w:rPr>
        <w:t>4. Trường hợp tổ chức tham gia bảo hiểm tiền gửi tính và nộp phí cho quý thu phí đầu tiên tham gia bảo hiểm tiền gửi áp dụng theo công thức sau:</w:t>
      </w:r>
    </w:p>
    <w:p>
      <w:r>
        <w:rPr>
          <w:b w:val="0"/>
          <w:i w:val="0"/>
        </w:rPr>
        <w:t>Trong đó:</w:t>
      </w:r>
    </w:p>
    <w:p>
      <w:r>
        <w:rPr>
          <w:b w:val="0"/>
          <w:i w:val="0"/>
        </w:rPr>
        <w:t>- P: là số phí bảo hiểm tiền gửi phải nộp của quý thu phí đầu tiên.</w:t>
      </w:r>
    </w:p>
    <w:p>
      <w:r>
        <w:rPr>
          <w:b w:val="0"/>
          <w:i w:val="0"/>
        </w:rPr>
        <w:t>- Si: là số dư tiền gửi được bảo hiểm ngày thứ i (i =1 → n; S1 là số dư tiền gửi được bảo hiểm cuối ngày đầu tiên nhận tiền gửi; Sn là số dư tiền gửi được bảo hiểm cuối quý trước liền kề quý thu phí đầu tiên).</w:t>
      </w:r>
    </w:p>
    <w:p>
      <w:r>
        <w:rPr>
          <w:b w:val="0"/>
          <w:i w:val="0"/>
        </w:rPr>
        <w:t>- m: là mức phí bảo hiểm tiền gửi phải nộp theo khoản 1 Điều này.</w:t>
      </w:r>
    </w:p>
    <w:p>
      <w:r>
        <w:rPr>
          <w:b w:val="0"/>
          <w:i w:val="0"/>
        </w:rPr>
        <w:t>5. Trường hợp có quyết định đặt vào kiểm soát đặc biệt, số phí bảo hiểm tiền gửi phải nộp được tính bằng công thức quy định tại khoản 4 Điều này; trong đó Si là số dư tiền gửi được bảo hiểm ngày thứ i (i = 1 → n); S1 là số dư tiền gửi được bảo hiểm cuối ngày đầu tiên của quý mà quyết định đặt vào kiểm soát đặc biệt có hiệu lực; Sn là số dư tiền gửi được bảo hiểm cuối ngày cuối cùng trước ngày quyết định đặt vào kiểm soát đặc biệt có hiệu lực.</w:t>
      </w:r>
    </w:p>
    <w:p>
      <w:r>
        <w:rPr>
          <w:b w:val="0"/>
          <w:i w:val="0"/>
        </w:rPr>
        <w:t>6. Trường hợp có quyết định chấm dứt kiểm soát đặc biệt để trở lại hoạt động bình thường, số phí bảo hiểm tiền gửi phải nộp được tính bằng công thức theo quy định tại khoản 4 Điều này; trong đó Si là số dư tiền gửi được bảo hiểm ngày thứ i (i = 1 → n); S1 là số dư tiền gửi được bảo hiểm cuối ngày liền kề sau ngày quyết định chấm dứt kiểm soát đặc biệt có hiệu lực; Sn là số dư tiền gửi được bảo hiểm cuối ngày cuối cùng của quý mà quyết định chấm dứt kiểm soát đặc biệt có hiệu lực.</w:t>
      </w:r>
    </w:p>
    <w:p>
      <w:r>
        <w:rPr>
          <w:b w:val="0"/>
          <w:i w:val="0"/>
        </w:rPr>
        <w:t>7. Tổ chức tham gia bảo hiểm tiền gửi sau sáp nhập, hợp nhất áp dụng công thức tính phí bảo hiểm tiền gửi quy định tại khoản 3 Điều này, trong đó S0 là tổng số dư tiền gửi được bảo hiểm đầu tháng thứ nhất của quý trước liền kề quý thu phí của các tổ chức tham gia bảo hiểm tiền gửi tham gia sáp nhập, hợp nhất; S1, S2, S3 là tổng số dư tiền gửi được bảo hiểm cuối các tháng thứ nhất, tháng thứ hai, tháng thứ ba của quý trước liền kề quý thu phí của các tổ chức tham gia bảo hiểm tiền gửi tham gia sáp nhập, hợp nhất, tổ chức tham gia bảo hiểm tiền gửi sau sáp nhập, hợp nhất.</w:t>
      </w:r>
    </w:p>
    <w:p>
      <w:r>
        <w:rPr>
          <w:b w:val="0"/>
          <w:i w:val="0"/>
        </w:rPr>
        <w:t>8. Trường hợp tổ chức tham gia bảo hiểm tiền gửi chấm dứt kiểm soát đặc biệt và thực hiện sáp nhập, hợp nhất trong cùng quý thì tổ chức tham gia bảo hiểm tiền gửi sau sáp nhập, hợp nhất áp dụng công thức tính phí P = P1 + P2 + P3.</w:t>
      </w:r>
    </w:p>
    <w:p>
      <w:r>
        <w:rPr>
          <w:b w:val="0"/>
          <w:i w:val="0"/>
        </w:rPr>
        <w:t>Trong đó:</w:t>
      </w:r>
    </w:p>
    <w:p>
      <w:r>
        <w:rPr>
          <w:b w:val="0"/>
          <w:i w:val="0"/>
        </w:rPr>
        <w:t>P1 được tính bằng công thức quy định tại khoản 4 Điều này; trong đó S1 là số dư tiền gửi được bảo hiểm tại cuối ngày liền kề sau ngày quyết định chấm dứt kiểm soát đặc biệt có hiệu lực của tổ chức tham gia bảo hiểm tiền gửi được đặt vào kiểm soát đặc biệt; Sn là số dư tiền gửi được bảo hiểm tại cuối ngày liền kề trước ngày quyết định sáp nhập, hợp nhất có hiệu lực của tổ chức tham gia bảo hiểm tiền gửi được đặt vào kiểm soát đặc biệt.</w:t>
      </w:r>
    </w:p>
    <w:p>
      <w:r>
        <w:rPr>
          <w:b w:val="0"/>
          <w:i w:val="0"/>
        </w:rPr>
        <w:t>P2 được tính bằng công thức quy định tại khoản 4 Điều này; trong đó S1 là số dư tiền gửi được bảo hiểm cuối ngày đầu tiên của quý trước liền kề quý thu phí của tổ chức tham gia bảo hiểm tiền gửi không được đặt vào kiểm soát đặc biệt tham gia sáp nhập, hợp nhất; Sn là số dư tiền gửi được bảo hiểm cuối ngày liền kề trước ngày quyết định sáp nhập, hợp nhất có hiệu lực của tổ chức tham gia bảo hiểm tiền gửi không được đặt vào kiểm soát đặc biệt tham gia sáp nhập, hợp nhất.</w:t>
      </w:r>
    </w:p>
    <w:p>
      <w:r>
        <w:rPr>
          <w:b w:val="0"/>
          <w:i w:val="0"/>
        </w:rPr>
        <w:t>P3 được tính bằng công thức quy định tại khoản 4 Điều này; trong đó S1 là số dư tiền gửi được bảo hiểm cuối ngày quyết định sáp nhập, hợp nhất có hiệu lực của tổ chức tham gia bảo hiểm tiền gửi sau sáp nhập, hợp nhất; Sn là số dư tiền gửi được bảo hiểm cuối quý trước liền kề quý thu phí của tổ chức tham gia bảo hiểm tiền gửi sau sáp nhập, hợp nhất.</w:t>
      </w:r>
    </w:p>
    <w:p>
      <w:r>
        <w:rPr>
          <w:b w:val="0"/>
          <w:i w:val="0"/>
        </w:rPr>
        <w:t xml:space="preserve">9. Trường hợp tổ chức tham gia bảo hiểm tiền gửi hình thành sau tách áp dụng công thức tính phí bảo hiểm tiền gửi quy định tại khoản 4 Điều này; trong đó, S1 là số dư tiền gửi được bảo hiểm cuối ngày khai trương hoạt động, Sn là số dư tiền gửi được bảo hiểm cuối quý trước liền kề quý thực hiện nộp phí lần đầu tiên. </w:t>
      </w:r>
    </w:p>
    <w:p>
      <w:r>
        <w:rPr>
          <w:b w:val="0"/>
          <w:i w:val="0"/>
        </w:rPr>
        <w:t>10. Trường hợp tổ chức tham gia bảo hiểm tiền gửi hình thành sau chia, phí bảo hiểm tiền gửi được tính theo công thức P =  P1 x T + P2. Trong đó:</w:t>
      </w:r>
    </w:p>
    <w:p>
      <w:r>
        <w:rPr>
          <w:b w:val="0"/>
          <w:i w:val="0"/>
        </w:rPr>
        <w:t>P1 được tính bằng công thức quy định tại khoản 4 Điều này; trong đó S1 là số dư tiền gửi được bảo hiểm cuối ngày đầu tiên của quý trước liền kề quý thu phí của tổ chức tham gia bảo hiểm tiền gửi trước chia; Sn là số dư tiền gửi được bảo hiểm cuối ngày liền kề trước ngày tổ chức tham gia bảo hiểm tiền gửi hình thành sau khi chia khai trương hoạt động của tổ chức tham gia bảo hiểm tiền gửi trước chia.</w:t>
      </w:r>
    </w:p>
    <w:p>
      <w:r>
        <w:rPr>
          <w:b w:val="0"/>
          <w:i w:val="0"/>
        </w:rPr>
        <w:t>T là tỷ lệ giữa số dư tiền gửi được bảo hiểm của tổ chức tham gia bảo hiểm tiền gửi hình thành sau chia trên số dư tiền gửi được bảo hiểm của tổ chức tham gia bảo hiểm tiền gửi trước chia tại thời điểm chia.</w:t>
      </w:r>
    </w:p>
    <w:p>
      <w:r>
        <w:rPr>
          <w:b w:val="0"/>
          <w:i w:val="0"/>
        </w:rPr>
        <w:t>P2 được tính bằng công thức quy định tại khoản 4 Điều này; trong đó S1 là số dư tiền gửi được bảo hiểm cuối ngày khai trương hoạt động của tổ chức tham gia bảo hiểm tiền gửi hình thành sau khi chia; Sn là số dư tiền gửi được bảo hiểm cuối quý trước liền kề quý thu phí của tổ chức tham gia bảo hiểm tiền gửi hình thành sau khi chia.</w:t>
      </w:r>
    </w:p>
    <w:p>
      <w:r>
        <w:rPr>
          <w:b w:val="0"/>
          <w:i w:val="0"/>
        </w:rPr>
        <w:t>11. Trường hợp Bảo hiểm tiền gửi Việt Nam vay đặc biệt từ Ngân hàng Nhà nước để chi trả tiền gửi, Thống đốc Ngân hàng Nhà nước xem xét, quyết định việc tăng phí bảo hiểm tiền gửi trên cơ sở phương án tăng phí bảo hiểm tiền gửi do Bảo hiểm tiền gửi Việt Nam đề xuất theo quy định tại khoản 3 Điều 19 Luật Bảo hiểm tiền gửi.</w:t>
      </w:r>
    </w:p>
    <w:p>
      <w:r>
        <w:rPr>
          <w:b/>
          <w:i w:val="0"/>
        </w:rPr>
        <w:t xml:space="preserve">Điều 5. </w:t>
      </w:r>
      <w:r>
        <w:rPr>
          <w:b/>
          <w:i w:val="0"/>
        </w:rPr>
        <w:t>T</w:t>
      </w:r>
      <w:r>
        <w:rPr>
          <w:b/>
          <w:i w:val="0"/>
        </w:rPr>
        <w:t>ạm hoãn nộp phí bảo hiểm tiền gửi</w:t>
      </w:r>
    </w:p>
    <w:p>
      <w:r>
        <w:rPr>
          <w:b w:val="0"/>
          <w:i w:val="0"/>
        </w:rPr>
        <w:t>1. Khi nhận được quyết định đặt tổ chức tín dụng vào kiểm soát đặc biệt, quyết định gia hạn thời hạn kiểm soát đặc biệt, Bảo hiểm tiền gửi Việt Nam đề nghị tổ chức tham gia bảo hiểm tiền gửi tính số tiền phí bảo hiểm tiền gửi nộp thiếu, nộp chậm và khoản tiền chậm nộp (nếu có) đã phát sinh trước thời điểm tổ chức tham gia bảo hiểm tiền gửi được đặt vào kiểm soát đặc biệt.</w:t>
      </w:r>
    </w:p>
    <w:p>
      <w:r>
        <w:rPr>
          <w:b w:val="0"/>
          <w:i w:val="0"/>
        </w:rPr>
        <w:t>2. Chậm nhất 10 ngày làm việc kể từ ngày nhận được đề nghị của Bảo hiểm tiền gửi Việt Nam, tổ chức tham gia bảo hiểm tiền gửi có trách nhiệm gửi văn bản cho Bảo hiểm tiền gửi Việt Nam về số tiền phí bảo hiểm tiền gửi nộp thiếu, nộp chậm và khoản tiền chậm nộp (nếu có) đã phát sinh trước thời điểm tổ chức tham gia bảo hiểm tiền gửi được đặt vào kiểm soát đặc biệt.</w:t>
      </w:r>
    </w:p>
    <w:p>
      <w:r>
        <w:rPr>
          <w:b w:val="0"/>
          <w:i w:val="0"/>
        </w:rPr>
        <w:t>3. Sau 05 ngày làm việc kể từ ngày nhận được văn bản của tổ chức tham gia bảo hiểm tiền gửi, Bảo hiểm tiền gửi Việt Nam có trách nhiệm xác nhận số phí bảo hiểm tiền gửi của tổ chức tham gia bảo hiểm tiền gửi được tạm hoãn.</w:t>
      </w:r>
    </w:p>
    <w:p>
      <w:r>
        <w:rPr>
          <w:b w:val="0"/>
          <w:i w:val="0"/>
        </w:rPr>
        <w:t>4. Tổ chức tham gia bảo hiểm tiền gửi được kiểm soát đặc biệt có trách nhiệm xây dựng kế hoạch để hoàn trả đầy đủ khoản tiền được tạm hoãn trong phương án cơ cấu lại trình cấp có thẩm quyền phê duyệt và gửi kế hoạch đã được phê duyệt tới Bảo hiểm tiền gửi Việt Nam.</w:t>
      </w:r>
    </w:p>
    <w:p>
      <w:r>
        <w:rPr>
          <w:b/>
          <w:i w:val="0"/>
        </w:rPr>
        <w:t>Điều 6. Số tiền bảo hiểm được trả</w:t>
      </w:r>
    </w:p>
    <w:p>
      <w:r>
        <w:rPr>
          <w:b w:val="0"/>
          <w:i w:val="0"/>
        </w:rPr>
        <w:t>1. Số tiền bảo hiểm được trả cho tất cả các khoản tiền gửi được bảo hiểm của một người tại một tổ chức tham gia bảo hiểm tiền gửi bao gồm tiền gốc và tiền lãi tính đến thời điểm phát sinh nghĩa vụ trả tiền bảo hiểm, tối đa bằng hạn mức chi trả tiền bảo hiểm quy định tại Điều 22 của Luật Bảo hiểm tiền gửi. Số tiền bảo hiểm được trả trong trường hợp nhiều người sở hữu chung tiền gửi được bảo hiểm tiền gửi thực hiện theo quy định tại khoản 2 Điều 23 Luật Bảo hiểm tiền gửi.</w:t>
      </w:r>
    </w:p>
    <w:p>
      <w:r>
        <w:rPr>
          <w:b w:val="0"/>
          <w:i w:val="0"/>
        </w:rPr>
        <w:t>2. Trường hợp người được bảo hiểm tiền gửi có khoản nợ tại tổ chức tham gia bảo hiểm tiền gửi thì số tiền gửi được bảo hiểm là số tiền còn lại sau khi trừ khoản nợ (bao gồm nợ gốc và lãi còn phải thu) đó.</w:t>
      </w:r>
    </w:p>
    <w:p>
      <w:r>
        <w:rPr>
          <w:b/>
          <w:i w:val="0"/>
        </w:rPr>
        <w:t>Điều 7. Thủ tục trả tiền bảo hiểm</w:t>
      </w:r>
    </w:p>
    <w:p>
      <w:r>
        <w:rPr>
          <w:b w:val="0"/>
          <w:i w:val="0"/>
        </w:rPr>
        <w:t>1. Trong thời hạn 05 ngày làm việc, kể từ thời điểm phát sinh nghĩa vụ trả tiền bảo hiểm, tổ chức tham gia bảo hiểm tiền gửi phải gửi Bảo hiểm tiền gửi Việt Nam hồ sơ đề nghị trả tiền bảo hiểm. Hồ sơ đề nghị trả tiền bảo hiểm do người đại diện hợp pháp của tổ chức tham gia bảo hiểm tiền gửi ký, bao gồm:</w:t>
      </w:r>
    </w:p>
    <w:p>
      <w:r>
        <w:rPr>
          <w:b w:val="0"/>
          <w:i w:val="0"/>
        </w:rPr>
        <w:t>a) Văn bản đề nghị trả tiền bảo hiểm theo mẫu quy định của Bảo hiểm tiền gửi Việt Nam;</w:t>
      </w:r>
    </w:p>
    <w:p>
      <w:r>
        <w:rPr>
          <w:b w:val="0"/>
          <w:i w:val="0"/>
        </w:rPr>
        <w:t>b) Danh sách người được bảo hiểm tiền gửi theo mẫu quy định của Bảo hiểm tiền gửi Việt Nam, trong đó ghi rõ số tiền gửi được bảo hiểm và khoản nợ tổ chức tham gia bảo hiểm tiền gửi (nếu có) của từng người được bảo hiểm tiền gửi tính đến ngày phát sinh nghĩa vụ trả tiền bảo hiểm tại tổ chức tham gia bảo hiểm tiền gửi; số tiền bảo hiểm đề nghị trả cho từng người được bảo hiểm tiền gửi.</w:t>
      </w:r>
    </w:p>
    <w:p>
      <w:r>
        <w:rPr>
          <w:b w:val="0"/>
          <w:i w:val="0"/>
        </w:rPr>
        <w:t>2. Trong thời hạn 05 ngày làm việc, kể từ ngày nhận đủ hồ sơ đề nghị trả tiền bảo hiểm theo quy định tại khoản 1 Điều này, Bảo hiểm tiền gửi Việt Nam tiến hành kiểm tra các chứng từ, sổ sách để xác định số tiền bảo hiểm phải chi trả.</w:t>
      </w:r>
    </w:p>
    <w:p>
      <w:r>
        <w:rPr>
          <w:b w:val="0"/>
          <w:i w:val="0"/>
        </w:rPr>
        <w:t>Tổ chức tham gia bảo hiểm tiền gửi có trách nhiệm cung cấp hồ sơ, chứng từ theo yêu cầu của Bảo hiểm tiền gửi Việt Nam để phục vụ việc kiểm tra, xác định số tiền chi trả.</w:t>
      </w:r>
    </w:p>
    <w:p>
      <w:r>
        <w:rPr>
          <w:b w:val="0"/>
          <w:i w:val="0"/>
        </w:rPr>
        <w:t>Trường hợp kiểm tra chứng từ, sổ sách để xác định số tiền chi trả phát hiện dấu hiệu vi phạm vượt quá thẩm quyền xử lý của Bảo hiểm tiền gửi Việt Nam, Bảo hiểm tiền gửi Việt Nam báo cáo, kiến nghị Ngân hàng Nhà nước xem xét, kiểm tra, thanh tra, xử lý.</w:t>
      </w:r>
    </w:p>
    <w:p>
      <w:r>
        <w:rPr>
          <w:b w:val="0"/>
          <w:i w:val="0"/>
        </w:rPr>
        <w:t>Căn cứ kết quả kiểm tra của Bảo hiểm tiền gửi Việt Nam và hồ sơ đề nghị trả tiền bảo hiểm do tổ chức tham gia bảo hiểm tiền gửi cung cấp, Bảo hiểm tiền gửi Việt Nam lập danh sách người được trả tiền bảo hiểm và số tiền bảo hiểm trả cho từng người.</w:t>
      </w:r>
    </w:p>
    <w:p>
      <w:r>
        <w:rPr>
          <w:b w:val="0"/>
          <w:i w:val="0"/>
        </w:rPr>
        <w:t>3. Trong thời hạn 10 ngày làm việc, kể từ ngày kết thúc kiểm tra theo quy định tại khoản 2 Điều này, Bảo hiểm tiền gửi Việt Nam phải có phương án trả tiền bảo hiểm cho người được bảo hiểm tiền gửi; thông báo công khai về địa điểm, thời gian, phương thức trả tiền bảo hiểm trên ba số liên tiếp của một tờ báo trung ương, một tờ báo địa phương nơi đặt trụ sở chính, các chi nhánh của tổ chức tham gia bảo hiểm tiền gửi và trên một báo điện tử của Việt Nam, trang thông tin điện tử của Bảo hiểm tiền gửi Việt Nam và các hình thức khác do Bảo hiểm tiền gửi Việt Nam quyết định.</w:t>
      </w:r>
    </w:p>
    <w:p>
      <w:r>
        <w:rPr>
          <w:b/>
          <w:i w:val="0"/>
        </w:rPr>
        <w:t xml:space="preserve">Điều </w:t>
      </w:r>
      <w:r>
        <w:rPr>
          <w:b/>
          <w:i w:val="0"/>
        </w:rPr>
        <w:t>8</w:t>
      </w:r>
      <w:r>
        <w:rPr>
          <w:b/>
          <w:i w:val="0"/>
        </w:rPr>
        <w:t xml:space="preserve">. Mở và sử dụng tài khoản thanh toán của Bảo hiểm tiền gửi Việt Nam tại </w:t>
      </w:r>
      <w:r>
        <w:rPr>
          <w:b/>
          <w:i w:val="0"/>
        </w:rPr>
        <w:t>tổ chức cung ứng dịch vụ thanh toán</w:t>
      </w:r>
    </w:p>
    <w:p>
      <w:r>
        <w:rPr>
          <w:b w:val="0"/>
          <w:i w:val="0"/>
        </w:rPr>
        <w:t>Bảo hiểm tiền gửi Việt Nam được mở tài khoản thanh toán tại các tổ chức cung ứng dịch vụ thanh toán theo quy định của Ngân hàng Nhà nước về việc mở và sử dụng tài khoản thanh toán tại tổ chức cung ứng dịch vụ thanh toán và chỉ được sử dụng các tài khoản này cho mục đích thanh toán phục vụ các hoạt động của Bảo hiểm tiền gửi Việt Nam. Trường hợp mở tài khoản của Bảo hiểm tiền gửi Việt Nam tại Ngân hàng Nhà nước, Bảo hiểm tiền gửi Việt Nam thực hiện theo quy định tại Điều 9 Thông tư này.</w:t>
      </w:r>
    </w:p>
    <w:p>
      <w:r>
        <w:rPr>
          <w:b/>
          <w:i w:val="0"/>
        </w:rPr>
        <w:t xml:space="preserve">Điều </w:t>
      </w:r>
      <w:r>
        <w:rPr>
          <w:b/>
          <w:i w:val="0"/>
        </w:rPr>
        <w:t>9</w:t>
      </w:r>
      <w:r>
        <w:rPr>
          <w:b/>
          <w:i w:val="0"/>
        </w:rPr>
        <w:t>. Mở tài khoản của Bảo hiểm tiền gửi Việt Nam tại Ngân hàng Nhà nước</w:t>
      </w:r>
    </w:p>
    <w:p>
      <w:r>
        <w:rPr>
          <w:b w:val="0"/>
          <w:i w:val="0"/>
        </w:rPr>
        <w:t xml:space="preserve">1. Bảo hiểm tiền gửi Việt Nam được mở tài khoản tại Ngân hàng Nhà nước để tiếp nhận vốn vay đặc biệt của Ngân hàng Nhà nước và gửi tiền theo quy định tại điểm b khoản 1 và khoản 2 Điều 29 Luật Bảo hiểm tiền gửi. Tài khoản của Bảo hiểm tiền gửi Việt Nam được hưởng mức lãi suất do Thống đốc Ngân hàng Nhà nước quyết định trong từng thời kỳ.  </w:t>
      </w:r>
    </w:p>
    <w:p>
      <w:r>
        <w:rPr>
          <w:b w:val="0"/>
          <w:i w:val="0"/>
        </w:rPr>
        <w:t>2. Thủ tục mở tài khoản của Bảo hiểm tiền gửi Việt Nam tại Ngân hàng Nhà nước được thực hiện tương tự thủ tục mở tài khoản thanh toán cho tổ chức tín dụng, chi nhánh ngân hàng nước ngoài tại Ngân hàng Nhà nước.</w:t>
      </w:r>
    </w:p>
    <w:p>
      <w:pPr>
        <w:jc w:val="center"/>
      </w:pPr>
      <w:r>
        <w:rPr>
          <w:b/>
          <w:i w:val="0"/>
        </w:rPr>
        <w:t>CHƯƠNG III</w:t>
      </w:r>
    </w:p>
    <w:p>
      <w:pPr>
        <w:jc w:val="center"/>
      </w:pPr>
      <w:r>
        <w:rPr>
          <w:b/>
          <w:i w:val="0"/>
        </w:rPr>
        <w:t xml:space="preserve">PHƯƠNG THỨC ĐẦU TƯ, KIỂM SOÁT, QUẢN LÝ RỦI RO TRONG HOẠT ĐỘNG ĐẦU TƯ </w:t>
      </w:r>
    </w:p>
    <w:p>
      <w:r>
        <w:rPr>
          <w:b/>
          <w:i w:val="0"/>
        </w:rPr>
        <w:t>Điều 1</w:t>
      </w:r>
      <w:r>
        <w:rPr>
          <w:b/>
          <w:i w:val="0"/>
        </w:rPr>
        <w:t>0</w:t>
      </w:r>
      <w:r>
        <w:rPr>
          <w:b/>
          <w:i w:val="0"/>
        </w:rPr>
        <w:t xml:space="preserve">. Phương thức đầu tư </w:t>
      </w:r>
    </w:p>
    <w:p>
      <w:r>
        <w:rPr>
          <w:b w:val="0"/>
          <w:i w:val="0"/>
        </w:rPr>
        <w:t>1. Bảo hiểm tiền gửi Việt Nam thực hiện trực tiếp đầu tư đối với các hoạt động đầu tư quy định tại khoản 1 Điều 29 Luật Bảo hiểm tiền gửi.</w:t>
      </w:r>
    </w:p>
    <w:p>
      <w:r>
        <w:rPr>
          <w:b w:val="0"/>
          <w:i w:val="0"/>
        </w:rPr>
        <w:t>2. Bảo hiểm tiền gửi Việt Nam được ủy thác đầu tư đối với các hoạt động đầu tư sau đây:</w:t>
      </w:r>
    </w:p>
    <w:p>
      <w:r>
        <w:rPr>
          <w:b w:val="0"/>
          <w:i w:val="0"/>
        </w:rPr>
        <w:t>a) Mua, bán trái phiếu Chính phủ;</w:t>
      </w:r>
    </w:p>
    <w:p>
      <w:r>
        <w:rPr>
          <w:b w:val="0"/>
          <w:i w:val="0"/>
        </w:rPr>
        <w:t>b) Mua, bán trái phiếu được phát hành bởi ngân hàng thương mại do Nhà nước nắm giữ trên 50% vốn điều lệ, ngân hàng thương mại cổ phần do doanh nghiệp nhà nước nắm giữ trên 50% vốn điều lệ.</w:t>
      </w:r>
    </w:p>
    <w:p>
      <w:r>
        <w:rPr>
          <w:b w:val="0"/>
          <w:i w:val="0"/>
        </w:rPr>
        <w:t>3. Trường hợp ủy thác đầu tư, Bảo hiểm tiền gửi Việt Nam phải thể hiện rõ tại kế hoạch đầu tư hàng năm được Hội đồng quản trị thông qua tối thiểu các nội dung sau:</w:t>
      </w:r>
    </w:p>
    <w:p>
      <w:r>
        <w:rPr>
          <w:b w:val="0"/>
          <w:i w:val="0"/>
        </w:rPr>
        <w:t>a) Sự cần thiết đầu tư bằng phương thức ủy thác;</w:t>
      </w:r>
    </w:p>
    <w:p>
      <w:r>
        <w:rPr>
          <w:b w:val="0"/>
          <w:i w:val="0"/>
        </w:rPr>
        <w:t>b) Nguyên tắc, tiêu chí lựa chọn tổ chức nhận ủy thác đầu tư, trong đó tổ chức nhận ủy thác đầu tư là các công ty quản lý quỹ, công ty chứng khoán, ngân hàng thương mại có chức năng nhận ủy thác đầu tư theo quy định của pháp luật có liên quan;</w:t>
      </w:r>
    </w:p>
    <w:p>
      <w:r>
        <w:rPr>
          <w:b w:val="0"/>
          <w:i w:val="0"/>
        </w:rPr>
        <w:t>c) Các nội dung ủy thác: phạm vi, sản phẩm ủy thác; quyền, nghĩa vụ, cam kết của các bên; thời hạn ủy thác; chi phí ủy thác; xử lý tranh chấp và các nội dung khác;</w:t>
      </w:r>
    </w:p>
    <w:p>
      <w:r>
        <w:rPr>
          <w:b w:val="0"/>
          <w:i w:val="0"/>
        </w:rPr>
        <w:t>d) Phương án xử lý trong trường hợp tổ chức nhận ủy thác đầu tư không thực hiện được các nội dung ủy thác;</w:t>
      </w:r>
    </w:p>
    <w:p>
      <w:r>
        <w:rPr>
          <w:b w:val="0"/>
          <w:i w:val="0"/>
        </w:rPr>
        <w:t>đ) Các biện pháp quản lý để đảm bảo kiểm soát hoạt động thuộc phạm vi ủy thác của bên nhận ủy thác;</w:t>
      </w:r>
    </w:p>
    <w:p>
      <w:r>
        <w:rPr>
          <w:b w:val="0"/>
          <w:i w:val="0"/>
        </w:rPr>
        <w:t>e) Các nội dung khác (nếu có).</w:t>
      </w:r>
    </w:p>
    <w:p>
      <w:r>
        <w:rPr>
          <w:b w:val="0"/>
          <w:i w:val="0"/>
        </w:rPr>
        <w:t>4. Bảo hiểm tiền gửi Việt Nam quyết định việc lựa chọn tổ chức ủy thác đầu tư và ký hợp đồng. Hợp đồng phải bao gồm các nội dung quy định tại điểm c, điểm d khoản 3 Điều này.</w:t>
      </w:r>
    </w:p>
    <w:p>
      <w:r>
        <w:rPr>
          <w:b/>
          <w:i w:val="0"/>
        </w:rPr>
        <w:t xml:space="preserve">Điều </w:t>
      </w:r>
      <w:r>
        <w:rPr>
          <w:b/>
          <w:i w:val="0"/>
        </w:rPr>
        <w:t>11</w:t>
      </w:r>
      <w:r>
        <w:rPr>
          <w:b/>
          <w:i w:val="0"/>
        </w:rPr>
        <w:t>. Kiểm soát, quản lý rủi ro</w:t>
      </w:r>
    </w:p>
    <w:p>
      <w:r>
        <w:rPr>
          <w:b w:val="0"/>
          <w:i w:val="0"/>
        </w:rPr>
        <w:t>1. Bảo hiểm tiền gửi Việt Nam ban hành quy chế đầu tư, quy chế quản lý rủi ro trong hoạt động đầu tư, quy chế kiểm toán nội bộ theo quy định tại Điều 12 Thông tư này và quy chế khác theo yêu cầu kiểm soát, quản lý rủi ro trong hoạt động đầu tư của Bảo hiểm tiền gửi Việt Nam.</w:t>
      </w:r>
    </w:p>
    <w:p>
      <w:r>
        <w:rPr>
          <w:b w:val="0"/>
          <w:i w:val="0"/>
        </w:rPr>
        <w:t>2. Bảo hiểm tiền gửi Việt Nam thực hiện đầu tư theo kế hoạch đầu tư hằng năm, phương án đầu tư 6 tháng đã được phê duyệt; thường xuyên đánh giá tình hình thực hiện để có biện pháp xử lý theo thẩm quyền và báo cáo Hội đồng quản trị điều chỉnh hoặc bổ sung (trong trường hợp cần thiết).</w:t>
      </w:r>
    </w:p>
    <w:p>
      <w:r>
        <w:rPr>
          <w:b w:val="0"/>
          <w:i w:val="0"/>
        </w:rPr>
        <w:t>3. Bảo hiểm tiền gửi Việt Nam thường xuyên cập nhật thông tin về tình hình thị trường; tình hình đầu tư; đối chiếu số tiền đầu tư, số tiền đến hạn thu hồi và số dư của từng khoản đầu tư, đối tượng đầu tư để phục vụ việc kiểm soát, quản lý rủi ro.</w:t>
      </w:r>
    </w:p>
    <w:p>
      <w:r>
        <w:rPr>
          <w:b w:val="0"/>
          <w:i w:val="0"/>
        </w:rPr>
        <w:t>4. Bảo hiểm tiền gửi Việt Nam phải có cơ chế kiểm soát rủi ro trong hoạt động đầu tư để kịp thời phát hiện, đề xuất biện pháp phòng ngừa, xử lý rủi ro.</w:t>
      </w:r>
    </w:p>
    <w:p>
      <w:r>
        <w:rPr>
          <w:b w:val="0"/>
          <w:i w:val="0"/>
        </w:rPr>
        <w:t xml:space="preserve">5. Bảo hiểm tiền gửi Việt Nam thực hiện trích lập dự phòng rủi ro đối với hoạt động đầu tư theo quy định về chế độ tài chính đối với tổ chức bảo hiểm tiền gửi.  </w:t>
      </w:r>
    </w:p>
    <w:p>
      <w:r>
        <w:rPr>
          <w:b/>
          <w:i w:val="0"/>
        </w:rPr>
        <w:t>Điều 12. Các quy chế nghiệp vụ</w:t>
      </w:r>
    </w:p>
    <w:p>
      <w:r>
        <w:rPr>
          <w:b w:val="0"/>
          <w:i w:val="0"/>
        </w:rPr>
        <w:t>1. Quy chế đầu tư, bao gồm tối thiểu các nội dung sau: tiêu chí danh mục đầu tư; nghiệp vụ ủy thác đầu tư; quy trình xây dựng cơ cấu đầu tư và các biện pháp để đạt được cơ cấu đầu tư; quy trình xây dựng kế hoạch đầu tư hằng năm, phương án đầu tư 6 tháng; quy trình, thủ tục, hồ sơ đầu tư đối với từng khoản đầu tư quy định tại khoản 1 Điều 29 Luật Bảo hiểm tiền gửi; chế độ báo cáo; trách nhiệm của các đơn vị và cá nhân có liên quan.</w:t>
      </w:r>
    </w:p>
    <w:p>
      <w:r>
        <w:rPr>
          <w:b w:val="0"/>
          <w:i w:val="0"/>
        </w:rPr>
        <w:t>2. Quy chế quản lý rủi ro trong hoạt động đầu tư bao gồm tối thiểu các nội dung sau: các loại rủi ro ảnh hưởng đến hoạt động đầu tư; nhận diện, phòng ngừa, xử lý đối với từng loại rủi ro; cách thức, tần suất tự kiểm tra, kiểm soát đối với các loại rủi ro; quy trình xử lý khi phát sinh rủi ro; trách nhiệm của các đơn vị và cá nhân có liên quan.</w:t>
      </w:r>
    </w:p>
    <w:p>
      <w:r>
        <w:rPr>
          <w:b w:val="0"/>
          <w:i w:val="0"/>
        </w:rPr>
        <w:t>3. Quy chế kiểm toán nội bộ bao gồm tối thiểu các nội dung sau: phạm vi, cách thức, quy trình, tần suất thực hiện kiểm toán nội bộ hoạt động đầu tư; trách nhiệm phối hợp của các đơn vị, cá nhân khi tổ chức thực hiện kiểm toán nội bộ, quy trình xử lý các kiến nghị của kiểm toán nội bộ, chế độ báo cáo.</w:t>
      </w:r>
    </w:p>
    <w:p>
      <w:r>
        <w:rPr>
          <w:b/>
          <w:i w:val="0"/>
        </w:rPr>
        <w:t>Điều 1</w:t>
      </w:r>
      <w:r>
        <w:rPr>
          <w:b/>
          <w:i w:val="0"/>
        </w:rPr>
        <w:t>3</w:t>
      </w:r>
      <w:r>
        <w:rPr>
          <w:b/>
          <w:i w:val="0"/>
        </w:rPr>
        <w:t>. Kiểm toán nội bộ về hoạt động đầu tư</w:t>
      </w:r>
    </w:p>
    <w:p>
      <w:r>
        <w:rPr>
          <w:b w:val="0"/>
          <w:i w:val="0"/>
        </w:rPr>
        <w:t>Định kỳ hằng năm hoặc theo yêu cầu quản lý, Bảo hiểm tiền gửi Việt Nam thực hiện kiểm toán nội bộ hoạt động đầu tư để đánh giá việc tuân thủ quy định của pháp luật, kế hoạch đầu tư hằng năm và các quy chế nghiệp vụ, quy trình liên quan đến hoạt động đầu tư.</w:t>
      </w:r>
    </w:p>
    <w:p>
      <w:pPr>
        <w:jc w:val="center"/>
      </w:pPr>
      <w:r>
        <w:rPr>
          <w:b/>
          <w:i w:val="0"/>
        </w:rPr>
        <w:t>CHƯƠNG IV</w:t>
      </w:r>
    </w:p>
    <w:p>
      <w:pPr>
        <w:jc w:val="center"/>
      </w:pPr>
      <w:r>
        <w:rPr>
          <w:b/>
          <w:i w:val="0"/>
        </w:rPr>
        <w:t>CUNG CẤP THÔNG TIN VÀ HOẠT ĐỘNG KIỂM TRA CỦA BẢO HIỂM TIỀN GỬI VIỆT NAM</w:t>
      </w:r>
    </w:p>
    <w:p>
      <w:r>
        <w:rPr>
          <w:b/>
          <w:i w:val="0"/>
        </w:rPr>
        <w:t>Điều 1</w:t>
      </w:r>
      <w:r>
        <w:rPr>
          <w:b/>
          <w:i w:val="0"/>
        </w:rPr>
        <w:t>4</w:t>
      </w:r>
      <w:r>
        <w:rPr>
          <w:b/>
          <w:i w:val="0"/>
        </w:rPr>
        <w:t>. Cung cấp thông tin</w:t>
      </w:r>
    </w:p>
    <w:p>
      <w:r>
        <w:rPr>
          <w:b w:val="0"/>
          <w:i w:val="0"/>
        </w:rPr>
        <w:t>1. Tổ chức tham gia bảo hiểm tiền gửi có trách nhiệm thiết lập, cập nhật, lưu giữ đầy đủ, chính xác, đảm bảo tính trung thực thông tin quy định tại Phụ lục I và Phụ lục II ban hành kèm theo Thông tư này.</w:t>
      </w:r>
    </w:p>
    <w:p>
      <w:r>
        <w:rPr>
          <w:b w:val="0"/>
          <w:i w:val="0"/>
        </w:rPr>
        <w:t>2. Bảo hiểm tiền gửi Việt Nam đảm bảo tính an toàn, bảo mật thông tin, dữ liệu phù hợp với quy định của pháp luật.</w:t>
      </w:r>
    </w:p>
    <w:p>
      <w:r>
        <w:rPr>
          <w:b w:val="0"/>
          <w:i w:val="0"/>
        </w:rPr>
        <w:t>3. Định kỳ hằng tháng, quý, tổ chức tham gia bảo hiểm tiền gửi cung cấp thông tin cho Bảo hiểm tiền gửi Việt Nam theo Phụ lục II ban hành kèm theo Thông tư này, trừ Mẫu biểu 02b/BHTG, 02b1/BHTG, 02b2/BHTG cung cấp trong một số trường hợp cụ thể quy định tại Phụ lục II.</w:t>
      </w:r>
    </w:p>
    <w:p>
      <w:r>
        <w:rPr>
          <w:b w:val="0"/>
          <w:i w:val="0"/>
        </w:rPr>
        <w:t>4. Trong trường hợp phục vụ công tác chuẩn bị trả tiền bảo hiểm hoặc các trường hợp khác liên quan đến việc trả tiền bảo hiểm theo yêu cầu của Bảo hiểm tiền gửi Việt Nam, tổ chức tham gia bảo hiểm tiền gửi có trách nhiệm cung cấp danh sách chi tiết khách hàng và các dữ liệu liên quan theo Phụ lục I ban hành kèm theo Thông tư này. Thời hạn cung cấp thông tin không quá 05 ngày làm việc kể từ ngày nhận được yêu cầu.</w:t>
      </w:r>
    </w:p>
    <w:p>
      <w:r>
        <w:rPr>
          <w:b w:val="0"/>
          <w:i w:val="0"/>
        </w:rPr>
        <w:t>5. Tổ chức tham gia bảo hiểm tiền gửi cung cấp thông tin về tiền gửi được bảo hiểm đột xuất theo yêu cầu bằng văn bản của Bảo hiểm tiền gửi Việt Nam.</w:t>
      </w:r>
    </w:p>
    <w:p>
      <w:r>
        <w:rPr>
          <w:b w:val="0"/>
          <w:i w:val="0"/>
        </w:rPr>
        <w:t>6. Trong trường hợp phục vụ công tác kiểm tra của Bảo hiểm tiền gửi Việt Nam, tổ chức tham gia bảo hiểm tiền gửi có trách nhiệm cung cấp thông tin theo yêu cầu bằng văn bản của Bảo hiểm tiền gửi Việt Nam. Tổ chức tham gia bảo hiểm tiền gửi có quyền từ chối cung cấp thông tin không liên quan đến nội dung kiểm tra.</w:t>
      </w:r>
    </w:p>
    <w:p>
      <w:r>
        <w:rPr>
          <w:b w:val="0"/>
          <w:i w:val="0"/>
        </w:rPr>
        <w:t>7. Bảo hiểm tiền gửi Việt Nam hướng dẫn tổ chức tham gia bảo hiểm tiền gửi về phương thức, hình thức cung cấp thông tin.</w:t>
      </w:r>
    </w:p>
    <w:p>
      <w:r>
        <w:rPr>
          <w:b/>
          <w:i w:val="0"/>
        </w:rPr>
        <w:t>Điều 1</w:t>
      </w:r>
      <w:r>
        <w:rPr>
          <w:b/>
          <w:i w:val="0"/>
        </w:rPr>
        <w:t>5</w:t>
      </w:r>
      <w:r>
        <w:rPr>
          <w:b/>
          <w:i w:val="0"/>
        </w:rPr>
        <w:t>. Kiểm tra tổ chức tham gia bảo hiểm tiền gửi theo kế hoạch, nội dung do Ngân hàng Nhà nước giao</w:t>
      </w:r>
    </w:p>
    <w:p>
      <w:r>
        <w:rPr>
          <w:b w:val="0"/>
          <w:i w:val="0"/>
        </w:rPr>
        <w:t>1. Bảo hiểm tiền gửi Việt Nam có trách nhiệm thực hiện kiểm tra tổ chức tham gia bảo hiểm tiền gửi theo kế hoạch, nội dung của Ngân hàng Nhà nước theo quy định tại khoản 10 Điều 14 Luật Bảo hiểm tiền gửi, cụ thể như sau:</w:t>
      </w:r>
    </w:p>
    <w:p>
      <w:r>
        <w:rPr>
          <w:b w:val="0"/>
          <w:i w:val="0"/>
        </w:rPr>
        <w:t>a) Bảo hiểm tiền gửi Việt Nam có trách nhiệm xây dựng, ban hành, sửa đổi, bổ sung quy chế kiểm tra tổ chức tham gia bảo hiểm tiền gửi theo quy định tại điểm b khoản này và gửi Ngân hàng Nhà nước có ý kiến trước khi quy chế này được ban hành hoặc sửa đổi, bổ sung. Trong thời hạn 07 ngày làm việc kể từ ngày ban hành hoặc sửa đổi, bổ sung, Bảo hiểm tiền gửi Việt Nam phải gửi Ngân hàng Nhà nước, các tổ chức tham gia bảo hiểm tiền gửi quy chế kiểm tra tổ chức tham gia bảo hiểm tiền gửi;</w:t>
      </w:r>
    </w:p>
    <w:p>
      <w:r>
        <w:rPr>
          <w:b w:val="0"/>
          <w:i w:val="0"/>
        </w:rPr>
        <w:t>b) Quy chế kiểm tra tổ chức tham gia bảo hiểm tiền gửi phải được Hội đồng quản trị phê duyệt và đảm bảo có tối thiểu các nội dung sau:</w:t>
      </w:r>
    </w:p>
    <w:p>
      <w:r>
        <w:rPr>
          <w:b w:val="0"/>
          <w:i w:val="0"/>
        </w:rPr>
        <w:t>(i) Nguyên tắc kiểm tra;</w:t>
      </w:r>
    </w:p>
    <w:p>
      <w:r>
        <w:rPr>
          <w:b w:val="0"/>
          <w:i w:val="0"/>
        </w:rPr>
        <w:t>(ii) Quy trình thực hiện kiểm tra;</w:t>
      </w:r>
    </w:p>
    <w:p>
      <w:r>
        <w:rPr>
          <w:b w:val="0"/>
          <w:i w:val="0"/>
        </w:rPr>
        <w:t>(iii) Trách nhiệm của Trưởng đoàn, thành viên đoàn kiểm tra; từng phòng, ban thuộc Bảo hiểm tiền gửi Việt Nam và bên có liên quan.</w:t>
      </w:r>
    </w:p>
    <w:p>
      <w:r>
        <w:rPr>
          <w:b w:val="0"/>
          <w:i w:val="0"/>
        </w:rPr>
        <w:t>2. Trong thời hạn 07 ngày làm việc kể từ ngày có kết quả kiểm tra theo quy định tại khoản 1 Điều này, Bảo hiểm tiền gửi Việt Nam:</w:t>
      </w:r>
    </w:p>
    <w:p>
      <w:r>
        <w:rPr>
          <w:b w:val="0"/>
          <w:i w:val="0"/>
        </w:rPr>
        <w:t>(i) Báo cáo kết quả kiểm tra chi nhánh ngân hàng nước ngoài thuộc đối tượng giám sát vi mô của Ngân hàng Nhà nước chi nhánh Khu vực cho Ngân hàng Nhà nước chi nhánh Khu vực đó;</w:t>
      </w:r>
    </w:p>
    <w:p>
      <w:r>
        <w:rPr>
          <w:b w:val="0"/>
          <w:i w:val="0"/>
        </w:rPr>
        <w:t>(ii) Báo cáo kết quả kiểm tra quỹ tín dụng nhân dân cho Ngân hàng Nhà nước chi nhánh Khu vực nơi quỹ tín dụng nhân dân đặt trụ sở;</w:t>
      </w:r>
    </w:p>
    <w:p>
      <w:r>
        <w:rPr>
          <w:b w:val="0"/>
          <w:i w:val="0"/>
        </w:rPr>
        <w:t>(iii) Báo cáo kết quả kiểm tra các tổ chức tham gia bảo hiểm tiền gửi khác cho Thanh tra Ngân hàng Nhà nước.</w:t>
      </w:r>
    </w:p>
    <w:p>
      <w:r>
        <w:rPr>
          <w:b w:val="0"/>
          <w:i w:val="0"/>
        </w:rPr>
        <w:t>3. Bảo hiểm tiền gửi Việt Nam có trách nhiệm phối hợp với Ngân hàng Nhà nước trong việc xây dựng kế hoạch, nội dung kiểm tra tổ chức tham gia bảo hiểm tiền gửi.</w:t>
      </w:r>
    </w:p>
    <w:p>
      <w:r>
        <w:rPr>
          <w:b w:val="0"/>
          <w:i w:val="0"/>
        </w:rPr>
        <w:t>4. Trước ngày 30 tháng 01 hằng năm, Ngân hàng Nhà nước giao kế hoạch, nội dung kiểm tra các tổ chức tham gia bảo hiểm tiền gửi cho Bảo hiểm tiền gửi Việt Nam. Kế hoạch kiểm tra bao gồm tối thiểu các nội dung:</w:t>
      </w:r>
    </w:p>
    <w:p>
      <w:r>
        <w:rPr>
          <w:b w:val="0"/>
          <w:i w:val="0"/>
        </w:rPr>
        <w:t>a) Danh sách tổ chức tham gia bảo hiểm tiền gửi được kiểm tra;</w:t>
      </w:r>
    </w:p>
    <w:p>
      <w:r>
        <w:rPr>
          <w:b w:val="0"/>
          <w:i w:val="0"/>
        </w:rPr>
        <w:t>b) Nội dung kiểm tra;</w:t>
      </w:r>
    </w:p>
    <w:p>
      <w:r>
        <w:rPr>
          <w:b w:val="0"/>
          <w:i w:val="0"/>
        </w:rPr>
        <w:t>c) Thời kỳ kiểm tra, thời hạn báo cáo kết quả kiểm tra;</w:t>
      </w:r>
    </w:p>
    <w:p>
      <w:r>
        <w:rPr>
          <w:b w:val="0"/>
          <w:i w:val="0"/>
        </w:rPr>
        <w:t>d) Hướng dẫn thực hiện kiểm tra (nếu cần thiết).</w:t>
      </w:r>
    </w:p>
    <w:p>
      <w:pPr>
        <w:jc w:val="center"/>
      </w:pPr>
      <w:r>
        <w:rPr>
          <w:b/>
          <w:i w:val="0"/>
        </w:rPr>
        <w:t xml:space="preserve">Chương </w:t>
      </w:r>
      <w:r>
        <w:rPr>
          <w:b/>
          <w:i w:val="0"/>
        </w:rPr>
        <w:t>V</w:t>
      </w:r>
    </w:p>
    <w:p>
      <w:pPr>
        <w:jc w:val="center"/>
      </w:pPr>
      <w:r>
        <w:rPr>
          <w:b/>
          <w:i w:val="0"/>
        </w:rPr>
        <w:t>TỔ CHỨC THỰC HIỆN</w:t>
      </w:r>
    </w:p>
    <w:p>
      <w:r>
        <w:rPr>
          <w:b/>
          <w:i w:val="0"/>
        </w:rPr>
        <w:t>Điều 1</w:t>
      </w:r>
      <w:r>
        <w:rPr>
          <w:b/>
          <w:i w:val="0"/>
        </w:rPr>
        <w:t>6</w:t>
      </w:r>
      <w:r>
        <w:rPr>
          <w:b/>
          <w:i w:val="0"/>
        </w:rPr>
        <w:t>. Trách nhiệm của các đơn vị thuộc Ngân hàng Nhà nước</w:t>
      </w:r>
    </w:p>
    <w:p>
      <w:r>
        <w:rPr>
          <w:b w:val="0"/>
          <w:i w:val="0"/>
        </w:rPr>
        <w:t>1. Cục Quản lý, giám sát tổ chức tín dụng:</w:t>
      </w:r>
    </w:p>
    <w:p>
      <w:r>
        <w:rPr>
          <w:b w:val="0"/>
          <w:i w:val="0"/>
        </w:rPr>
        <w:t>a) Giám sát Bảo hiểm tiền gửi Việt Nam trong việc chấp hành các quy định của pháp luật về bảo hiểm tiền gửi;</w:t>
      </w:r>
    </w:p>
    <w:p>
      <w:r>
        <w:rPr>
          <w:b w:val="0"/>
          <w:i w:val="0"/>
        </w:rPr>
        <w:t>b) Chủ trì, phối hợp với các đơn vị có liên quan để tham mưu Thống đốc Ngân hàng Nhà nước xem xét, quyết định việc tăng phí bảo hiểm tiền gửi theo quy định tại khoản 11 Điều 4 Thông tư này;</w:t>
      </w:r>
    </w:p>
    <w:p>
      <w:r>
        <w:rPr>
          <w:b w:val="0"/>
          <w:i w:val="0"/>
        </w:rPr>
        <w:t>c) Phối hợp với Thanh tra Ngân hàng Nhà nước thực hiện nhiệm vụ quy định tại điểm c khoản 2 Điều này.</w:t>
      </w:r>
    </w:p>
    <w:p>
      <w:r>
        <w:rPr>
          <w:b w:val="0"/>
          <w:i w:val="0"/>
        </w:rPr>
        <w:t>2. Thanh tra Ngân hàng Nhà nước:</w:t>
      </w:r>
    </w:p>
    <w:p>
      <w:r>
        <w:rPr>
          <w:b w:val="0"/>
          <w:i w:val="0"/>
        </w:rPr>
        <w:t>a) Kiểm tra, thanh tra, xử lý vi phạm và giải quyết khiếu nại, tố cáo về bảo hiểm tiền gửi theo quy định tại Luật Bảo hiểm tiền gửi;</w:t>
      </w:r>
    </w:p>
    <w:p>
      <w:r>
        <w:rPr>
          <w:b w:val="0"/>
          <w:i w:val="0"/>
        </w:rPr>
        <w:t>b) Kiểm tra, thanh tra Bảo hiểm tiền gửi Việt Nam trong việc chấp hành các quy định của pháp luật về bảo hiểm tiền gửi;</w:t>
      </w:r>
    </w:p>
    <w:p>
      <w:r>
        <w:rPr>
          <w:b w:val="0"/>
          <w:i w:val="0"/>
        </w:rPr>
        <w:t>c) Chủ trì, trình Thống đốc Ngân hàng Nhà nước giao Bảo hiểm tiền gửi Việt Nam thực hiện kiểm tra tổ chức tham gia bảo hiểm tiền gửi; có ý kiến và tiếp nhận quy chế kiểm tra tổ chức tham gia bảo hiểm tiền gửi theo quy định tại Điều 15 Thông tư này.</w:t>
      </w:r>
    </w:p>
    <w:p>
      <w:r>
        <w:rPr>
          <w:b w:val="0"/>
          <w:i w:val="0"/>
        </w:rPr>
        <w:t>3. Vụ Chính sách tiền tệ:</w:t>
      </w:r>
    </w:p>
    <w:p>
      <w:r>
        <w:rPr>
          <w:b w:val="0"/>
          <w:i w:val="0"/>
        </w:rPr>
        <w:t>Chủ trì, phối hợp với các đơn vị có liên quan để tham mưu cho Thống đốc Ngân hàng Nhà nước quyết định mức lãi suất tiền gửi của Bảo hiểm tiền gửi Việt Nam tại Ngân hàng Nhà nước.</w:t>
      </w:r>
    </w:p>
    <w:p>
      <w:r>
        <w:rPr>
          <w:b w:val="0"/>
          <w:i w:val="0"/>
        </w:rPr>
        <w:t>4. Sở Giao dịch:</w:t>
      </w:r>
    </w:p>
    <w:p>
      <w:r>
        <w:rPr>
          <w:b w:val="0"/>
          <w:i w:val="0"/>
        </w:rPr>
        <w:t>Hướng dẫn Bảo hiểm tiền gửi Việt Nam thực hiện việc gửi tiền tại Ngân hàng Nhà nước, mua tín phiếu Ngân hàng Nhà nước theo quy định tại Thông tư này và các quy định khác của pháp luật.</w:t>
      </w:r>
    </w:p>
    <w:p>
      <w:r>
        <w:rPr>
          <w:b w:val="0"/>
          <w:i w:val="0"/>
        </w:rPr>
        <w:t>5. Ngân hàng Nhà nước chi nhánh Khu vực:</w:t>
      </w:r>
    </w:p>
    <w:p>
      <w:r>
        <w:rPr>
          <w:b w:val="0"/>
          <w:i w:val="0"/>
        </w:rPr>
        <w:t>a) Kiểm tra, thanh tra, xử lý vi phạm và giải quyết khiếu nại, tố cáo về bảo hiểm tiền gửi trên địa bàn;</w:t>
      </w:r>
    </w:p>
    <w:p>
      <w:r>
        <w:rPr>
          <w:b w:val="0"/>
          <w:i w:val="0"/>
        </w:rPr>
        <w:t>b) Phối hợp với Thanh tra Ngân hàng Nhà nước thực hiện nhiệm vụ quy định tại điểm c khoản 2 Điều này.</w:t>
      </w:r>
    </w:p>
    <w:p>
      <w:r>
        <w:rPr>
          <w:b/>
          <w:i w:val="0"/>
        </w:rPr>
        <w:t xml:space="preserve">Điều </w:t>
      </w:r>
      <w:r>
        <w:rPr>
          <w:b/>
          <w:i w:val="0"/>
        </w:rPr>
        <w:t>17</w:t>
      </w:r>
      <w:r>
        <w:rPr>
          <w:b/>
          <w:i w:val="0"/>
        </w:rPr>
        <w:t xml:space="preserve">. </w:t>
      </w:r>
      <w:r>
        <w:rPr>
          <w:b/>
          <w:i w:val="0"/>
        </w:rPr>
        <w:t>Điều khoản thi hành</w:t>
      </w:r>
    </w:p>
    <w:p>
      <w:r>
        <w:rPr>
          <w:b w:val="0"/>
          <w:i w:val="0"/>
        </w:rPr>
        <w:t>1. Thông tư này có hiệu lực thi hành kể từ ngày 01 tháng 5 năm 2026, trừ quy định tại khoản 2 Điều này.</w:t>
      </w:r>
    </w:p>
    <w:p>
      <w:r>
        <w:rPr>
          <w:b w:val="0"/>
          <w:i w:val="0"/>
        </w:rPr>
        <w:t>2. Mức phí bảo hiểm tiền gửi của Quỹ tín dụng nhân dân theo quy định tại điểm b khoản 1 Điều 4 Thông tư này được thực hiện kể từ quý thu phí Quý IV năm 2026.</w:t>
      </w:r>
    </w:p>
    <w:p>
      <w:r>
        <w:rPr>
          <w:b w:val="0"/>
          <w:i w:val="0"/>
        </w:rPr>
        <w:t>3. Kể từ ngày Thông tư này có hiệu lực thi hành, Thông tư số 24/2014/TT-NHNN ngày 06 tháng 9 năm 2014 của Thống đốc Ngân hàng Nhà nước Việt Nam hướng dẫn một số nội dung về hoạt động bảo hiểm tiền gửi hết hiệu lực thi hành.</w:t>
      </w:r>
    </w:p>
    <w:p>
      <w:r>
        <w:rPr>
          <w:b/>
          <w:i w:val="0"/>
        </w:rPr>
        <w:t xml:space="preserve">Điều </w:t>
      </w:r>
      <w:r>
        <w:rPr>
          <w:b/>
          <w:i w:val="0"/>
        </w:rPr>
        <w:t>18</w:t>
      </w:r>
      <w:r>
        <w:rPr>
          <w:b/>
          <w:i w:val="0"/>
        </w:rPr>
        <w:t>. Trách nhiệm tổ chức thực hiện</w:t>
      </w:r>
    </w:p>
    <w:p>
      <w:r>
        <w:rPr>
          <w:b w:val="0"/>
          <w:i w:val="0"/>
        </w:rPr>
        <w:t>Thủ trưởng các đơn vị thuộc Ngân hàng Nhà nước, tổ chức tham gia bảo hiểm tiền gửi, Bảo hiểm tiền gửi Việt Nam chịu trách nhiệm tổ chức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Như Điều 18;</w:t>
            </w:r>
            <w:r>
              <w:br/>
            </w:r>
            <w:r>
              <w:rPr>
                <w:b w:val="0"/>
                <w:i w:val="0"/>
              </w:rPr>
              <w:br/>
              <w:t xml:space="preserve">         - Ban Lãnh đạo NHNN;</w:t>
            </w:r>
            <w:r>
              <w:br/>
            </w:r>
            <w:r>
              <w:rPr>
                <w:b w:val="0"/>
                <w:i w:val="0"/>
              </w:rPr>
              <w:br/>
              <w:t xml:space="preserve">         - Văn phòng Chính phủ;</w:t>
            </w:r>
            <w:r>
              <w:br/>
            </w:r>
            <w:r>
              <w:rPr>
                <w:b w:val="0"/>
                <w:i w:val="0"/>
              </w:rPr>
              <w:br/>
              <w:t xml:space="preserve">         - Bộ Tư pháp (để kiểm tra);</w:t>
            </w:r>
            <w:r>
              <w:br/>
            </w:r>
            <w:r>
              <w:rPr>
                <w:b w:val="0"/>
                <w:i w:val="0"/>
              </w:rPr>
              <w:br/>
              <w:t xml:space="preserve">         - Công báo;</w:t>
            </w:r>
            <w:r>
              <w:br/>
            </w:r>
            <w:r>
              <w:rPr>
                <w:b w:val="0"/>
                <w:i w:val="0"/>
              </w:rPr>
              <w:br/>
              <w:t xml:space="preserve">         - Lưu: VP, ATHT1</w:t>
            </w:r>
            <w:r>
              <w:rPr>
                <w:b w:val="0"/>
                <w:i w:val="0"/>
              </w:rPr>
              <w:t>.</w:t>
            </w:r>
          </w:p>
        </w:tc>
        <w:tc>
          <w:tcPr>
            <w:tcW w:type="dxa" w:w="4320"/>
          </w:tcPr>
          <w:p>
            <w:r>
              <w:rPr>
                <w:b w:val="0"/>
                <w:i w:val="0"/>
              </w:rPr>
              <w:br/>
            </w:r>
            <w:r>
              <w:rPr>
                <w:b/>
                <w:i w:val="0"/>
              </w:rPr>
              <w:t>KT. THỐNG ĐỐC</w:t>
            </w:r>
            <w:r>
              <w:rPr>
                <w:b w:val="0"/>
                <w:i w:val="0"/>
              </w:rPr>
              <w:br/>
            </w:r>
            <w:r>
              <w:rPr>
                <w:b/>
                <w:i w:val="0"/>
              </w:rPr>
              <w:t>PHÓ THỐNG ĐỐC</w:t>
            </w:r>
            <w:r>
              <w:rPr>
                <w:b w:val="0"/>
                <w:i w:val="0"/>
              </w:rPr>
              <w:br/>
            </w:r>
            <w:r>
              <w:rPr>
                <w:b/>
                <w:i/>
              </w:rPr>
              <w:t>(Đã ký)</w:t>
            </w:r>
            <w:r>
              <w:rPr>
                <w:b w:val="0"/>
                <w:i w:val="0"/>
              </w:rPr>
              <w:br/>
            </w:r>
            <w:r>
              <w:rPr>
                <w:b/>
                <w:i w:val="0"/>
              </w:rPr>
              <w:t>Đoàn Thái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