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Văn bản hợp nhất số 04/VBHN-BTC Quy định chi tiết và hướng dẫn thi hành một số Điều của Luật Quản lý, sử dụng tài sản nhà nước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