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05/1999/QĐ-BCN Ban hành 04 tiêu chuẩn ngành về sản phẩm giấy và các tông</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05/1999/QĐ-BCN</w:t>
      </w:r>
      <w:r>
        <w:rPr>
          <w:b w:val="0"/>
          <w:i w:val="0"/>
        </w:rPr>
        <w:br/>
      </w:r>
      <w:r>
        <w:rPr>
          <w:b w:val="0"/>
          <w:i w:val="0"/>
        </w:rPr>
        <w:br/>
      </w:r>
      <w:r>
        <w:rPr>
          <w:b w:val="0"/>
          <w:i/>
        </w:rPr>
        <w:br/>
      </w:r>
      <w:r>
        <w:rPr>
          <w:b w:val="0"/>
          <w:i/>
        </w:rPr>
        <w:t>Hà Nội, ngày 23 tháng 01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05/1999/QĐ-BCN</w:t>
      </w:r>
      <w:r>
        <w:rPr>
          <w:b w:val="0"/>
          <w:i w:val="0"/>
        </w:rPr>
        <w:br/>
      </w:r>
      <w:r>
        <w:rPr>
          <w:b w:val="0"/>
          <w:i w:val="0"/>
        </w:rPr>
        <w:br/>
      </w:r>
      <w:r>
        <w:rPr>
          <w:b w:val="0"/>
          <w:i/>
        </w:rPr>
        <w:br/>
      </w:r>
      <w:r>
        <w:rPr>
          <w:b w:val="0"/>
          <w:i/>
        </w:rPr>
        <w:t>Hà Nội, ngày 23 tháng 01 năm 1999</w:t>
      </w:r>
      <w:r>
        <w:rPr>
          <w:b w:val="0"/>
          <w:i/>
        </w:rPr>
        <w:br/>
      </w:r>
      <w:r>
        <w:rPr>
          <w:b w:val="0"/>
          <w:i w:val="0"/>
        </w:rPr>
        <w:br/>
      </w:r>
    </w:p>
    <w:p>
      <w:pPr>
        <w:jc w:val="center"/>
      </w:pPr>
      <w:r>
        <w:rPr>
          <w:b w:val="0"/>
          <w:i w:val="0"/>
        </w:rPr>
        <w:br/>
      </w:r>
      <w:r>
        <w:rPr>
          <w:b w:val="0"/>
          <w:i w:val="0"/>
        </w:rPr>
        <w:t>Số: 05/1999/QĐ-BCN</w:t>
      </w:r>
      <w:r>
        <w:rPr>
          <w:b w:val="0"/>
          <w:i w:val="0"/>
        </w:rPr>
        <w:br/>
      </w:r>
    </w:p>
    <w:p>
      <w:pPr>
        <w:jc w:val="center"/>
      </w:pPr>
      <w:r>
        <w:rPr>
          <w:b w:val="0"/>
          <w:i w:val="0"/>
        </w:rPr>
        <w:br/>
      </w:r>
      <w:r>
        <w:rPr>
          <w:b w:val="0"/>
          <w:i w:val="0"/>
        </w:rPr>
        <w:t>Hà Nội, ngày 23 tháng 01 năm 1999</w:t>
      </w:r>
      <w:r>
        <w:rPr>
          <w:b w:val="0"/>
          <w:i w:val="0"/>
        </w:rPr>
        <w:br/>
      </w:r>
    </w:p>
    <w:p>
      <w:r>
        <w:rPr>
          <w:b w:val="0"/>
          <w:i w:val="0"/>
        </w:rPr>
        <w:br/>
      </w:r>
      <w:r>
        <w:rPr>
          <w:b/>
          <w:i w:val="0"/>
        </w:rPr>
        <w:t xml:space="preserve">QUYẾT ĐỊNH </w:t>
      </w:r>
      <w:r>
        <w:rPr>
          <w:b w:val="0"/>
          <w:i w:val="0"/>
        </w:rPr>
        <w:br/>
      </w:r>
      <w:r>
        <w:rPr>
          <w:b/>
          <w:i w:val="0"/>
        </w:rPr>
        <w:t>Ban hành 04 tiêu chuẩn ngành về sản phẩm giấy và các tông</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141/HĐBT ngày 24 tháng 8 năm 1982 của Hội đồng Bộ trưởng (nay là Chính phủ) ban hành điều lệ công tác tiêu chuẩn hoá;</w:t>
      </w:r>
      <w:r>
        <w:rPr>
          <w:b w:val="0"/>
          <w:i w:val="0"/>
        </w:rPr>
        <w:br/>
      </w:r>
      <w:r>
        <w:rPr>
          <w:b w:val="0"/>
          <w:i/>
        </w:rPr>
        <w:t>Căn cứ vào Nghị định số 86/CP ngày 08 tháng 12 năm 1995 của Chính phủ quy định phân công trách nhiệm quản lý Nhà nước về chất lượng hàng hoá;</w:t>
      </w:r>
      <w:r>
        <w:rPr>
          <w:b w:val="0"/>
          <w:i w:val="0"/>
        </w:rPr>
        <w:br/>
      </w:r>
      <w:r>
        <w:rPr>
          <w:b w:val="0"/>
          <w:i/>
        </w:rPr>
        <w:t>Theo đề nghị của Vụ trưởng Vụ Quản lý Công nghệ và Chất lượng sản phẩm,</w:t>
      </w:r>
      <w:r>
        <w:rPr>
          <w:b w:val="0"/>
          <w:i w:val="0"/>
        </w:rPr>
        <w:br/>
      </w:r>
      <w:r>
        <w:rPr>
          <w:b/>
          <w:i w:val="0"/>
        </w:rPr>
        <w:t>QUYẾT ĐỊNH:</w:t>
      </w:r>
      <w:r>
        <w:rPr>
          <w:b w:val="0"/>
          <w:i w:val="0"/>
        </w:rPr>
        <w:br/>
      </w:r>
      <w:r>
        <w:rPr>
          <w:b/>
          <w:i w:val="0"/>
        </w:rPr>
        <w:t xml:space="preserve">Điều 1. </w:t>
      </w:r>
      <w:r>
        <w:rPr>
          <w:b w:val="0"/>
          <w:i w:val="0"/>
        </w:rPr>
        <w:t>Ban hành kèm theo Quyết định này 04 tiêu chuẩn ngành về sản phẩm giấy, cáctông sản xuất và tiêu dùng trong nước, gồm:</w:t>
      </w:r>
      <w:r>
        <w:rPr>
          <w:b w:val="0"/>
          <w:i w:val="0"/>
        </w:rPr>
        <w:br/>
      </w:r>
      <w:r>
        <w:rPr>
          <w:b w:val="0"/>
          <w:i w:val="0"/>
        </w:rPr>
        <w:t xml:space="preserve">24TCN72-99 Cáctông lớp mặt của cáctông sóng; </w:t>
      </w:r>
      <w:r>
        <w:rPr>
          <w:b w:val="0"/>
          <w:i w:val="0"/>
        </w:rPr>
        <w:br/>
      </w:r>
      <w:r>
        <w:rPr>
          <w:b w:val="0"/>
          <w:i w:val="0"/>
        </w:rPr>
        <w:t xml:space="preserve">24TCN73-99 Giấy làm lớp sóng của cáctông sóng. </w:t>
      </w:r>
      <w:r>
        <w:rPr>
          <w:b w:val="0"/>
          <w:i w:val="0"/>
        </w:rPr>
        <w:br/>
      </w:r>
      <w:r>
        <w:rPr>
          <w:b w:val="0"/>
          <w:i w:val="0"/>
        </w:rPr>
        <w:t xml:space="preserve">24TCN74-99 Cáctông lớp phẳng giữa của cáctông sóng; </w:t>
      </w:r>
      <w:r>
        <w:rPr>
          <w:b w:val="0"/>
          <w:i w:val="0"/>
        </w:rPr>
        <w:br/>
      </w:r>
      <w:r>
        <w:rPr>
          <w:b w:val="0"/>
          <w:i w:val="0"/>
        </w:rPr>
        <w:t xml:space="preserve">24TCN75-99 Cáctông duplex. </w:t>
      </w:r>
      <w:r>
        <w:rPr>
          <w:b w:val="0"/>
          <w:i w:val="0"/>
        </w:rPr>
        <w:br/>
      </w:r>
      <w:r>
        <w:rPr>
          <w:b w:val="0"/>
          <w:i w:val="0"/>
        </w:rPr>
        <w:t>Các tiêu chuẩn này ban hành với hình thức: hướng dẫn, khuyến khích áp dụng và có hiệu lực kể từ ngày 01-02-1999.</w:t>
      </w:r>
      <w:r>
        <w:rPr>
          <w:b w:val="0"/>
          <w:i w:val="0"/>
        </w:rPr>
        <w:br/>
      </w:r>
      <w:r>
        <w:rPr>
          <w:b/>
          <w:i w:val="0"/>
        </w:rPr>
        <w:t xml:space="preserve">Điều 2. </w:t>
      </w:r>
      <w:r>
        <w:rPr>
          <w:b w:val="0"/>
          <w:i w:val="0"/>
        </w:rPr>
        <w:t>Đồng chí Vụ trưởng Vụ Quản lý Công nghệ và Chất lượng sản phẩm có trách nhiệm hướng dẫn thực hiện Quyết định này.</w:t>
      </w:r>
      <w:r>
        <w:rPr>
          <w:b w:val="0"/>
          <w:i w:val="0"/>
        </w:rPr>
        <w:br/>
      </w:r>
      <w:r>
        <w:rPr>
          <w:b/>
          <w:i w:val="0"/>
        </w:rPr>
        <w:t xml:space="preserve">Điều 3. </w:t>
      </w:r>
      <w:r>
        <w:rPr>
          <w:b w:val="0"/>
          <w:i w:val="0"/>
        </w:rPr>
        <w:t>Chánh Văn phòng Bộ, Vụ trưởng các Vụ chức năng, Chủ tịch Hiệp hội Giấy Việt Nam, Tổng Giám đốc Tổng công ty Giấy Việt Nam, và các doanh nghiệp sản xuấtcgiấy trong cả nước có trách nhiệm thi hành Quyết định này./.</w:t>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