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05/1999/TT-BTC Hướng dẫn sửa đổi, bổ sung điểm 3 mục I Thông tư số 57/1998/TT-BTC ngày 27/4/1998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pPr>
        <w:jc w:val="center"/>
      </w:pPr>
      <w:r>
        <w:rPr>
          <w:b/>
          <w:i w:val="0"/>
        </w:rPr>
        <w:t>THÔNG TƯ</w:t>
      </w:r>
    </w:p>
    <w:p>
      <w:pPr>
        <w:jc w:val="center"/>
      </w:pPr>
      <w:r>
        <w:rPr>
          <w:b/>
          <w:i w:val="0"/>
        </w:rPr>
        <w:t xml:space="preserve">Hướng dẫn sửa đổi, bổ sung điểm 3 mục I Thông tư số 57/1998/TT-BTC ngày 27/4/1998 </w:t>
      </w:r>
    </w:p>
    <w:p>
      <w:r>
        <w:rPr>
          <w:b w:val="0"/>
          <w:i/>
        </w:rPr>
        <w:t>Căn cứ Quyết định số 276/CT ngày 28/7/1992 của Chủ tịch Hội đồng Bộ trưởng (nay là Thủ tướng Chính phủ) về việc thống nhất quản lý các loại phí, lệ phí, Bộ Tài chính đã ban hành Thông tư số 57/1998/TT-BTC ngày 27/4/1998 về việc hướng dẫn chế độ thu phí cầu, đường của Nhà nước quản lý và Thông tư số 75/1998/TT/BTC ngày 2/6/1998 hướng dẫn sửa đổi, bổ sung điểm 1.d, mục A, phần IV và điểm 3.n mục I Thông tư số 57/1998/TT-BTC.</w:t>
      </w:r>
    </w:p>
    <w:p>
      <w:r>
        <w:rPr>
          <w:b w:val="0"/>
          <w:i w:val="0"/>
        </w:rPr>
        <w:t>Để phù hợp với thực tế, Bộ Tài chính bổ sung quy định tại điểm 3, mục I Thông tư số 57/1998/TT-BTC về đối tượng không thu phí cầu, đường thuộc Nhà nước quản lý đối với xe tải chuyên dùng chở rác, chở bùn của Công ty môi trường đô thị và Công ty thoát nước đô thị (trừ trường hợp các xe này vận chuyển các hàng hóa khác thuộc đối tượng phải nộp phí cầu, đường).</w:t>
      </w:r>
    </w:p>
    <w:p>
      <w:r>
        <w:rPr>
          <w:b w:val="0"/>
          <w:i w:val="0"/>
        </w:rPr>
        <w:t>Thông tư này có hiệu lực thi hành sau 15 ngày kể từ ngày ký. Các nội dung khác không đề cập tại Thông tư này vẫn thực hiện theo quy định tại Thông tư số 57/1998/TT-BTC ngày 27/4/1998 và Thông tư số 75/1998/TT/BTC ngày 2/6/1998 của Bộ Tài chính. Trong quá trình thực hiện nếu có vướng mắc, đề nghị các tổ chức, cá nhân và đối tượng nộp phí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r>
              <w:rPr>
                <w:b w:val="0"/>
                <w:i w:val="0"/>
              </w:rPr>
              <w:br/>
            </w:r>
            <w:r>
              <w:rPr>
                <w:b/>
                <w:i w:val="0"/>
              </w:rPr>
              <w:t>Phạm Văn Trọng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