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05/2005/QĐ-BCN Sửa đổi khoản 1, khoản 3 Điều 1 Quyết định số 157/2004/QĐ-BCN ngày 06 tháng 12 năm 2004 của Bộ trưởng Bộ Công nghiệp về việc chuyển Công ty Nhựa Rạng Đông thành Công ty cổ phần Nhựa Rạng Đông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rPr>
        <w:t xml:space="preserve">Sửa đổi khoản 1, khoản 3 Điều 1 Quyết định số 157/2004/QĐ-BCN </w:t>
      </w:r>
      <w:r>
        <w:rPr>
          <w:b/>
          <w:i/>
        </w:rPr>
        <w:t xml:space="preserve">ngày 06 tháng 12 năm 2004 của Bộ trưởng Bộ Công nghiệp về việc </w:t>
      </w:r>
      <w:r>
        <w:rPr>
          <w:b/>
          <w:i/>
        </w:rPr>
        <w:t>chuyển Công ty Nhựa Rạng Đông thành Công ty cổ phần Nhựa Rạng Đông</w:t>
      </w:r>
    </w:p>
    <w:p>
      <w:r>
        <w:rPr>
          <w:b/>
          <w:i w:val="0"/>
        </w:rPr>
        <w:t>BỘ TRƯỞNG BỘ CÔNG NGHIỆP</w:t>
      </w:r>
    </w:p>
    <w:p>
      <w:pPr>
        <w:jc w:val="both"/>
      </w:pPr>
      <w:r>
        <w:rPr>
          <w:b w:val="0"/>
          <w:i/>
        </w:rPr>
        <w:t>Căn cứ Nghị định số 55/2003/NĐ-CP ngày 28 tháng 05 năm 2003 của Chính phủ quy định chức năng, nhiệm vụ, quyền hạn và cơ cấu tổ chức của Bộ Công nghiệp;</w:t>
      </w:r>
    </w:p>
    <w:p>
      <w:pPr>
        <w:jc w:val="both"/>
      </w:pPr>
      <w:r>
        <w:rPr>
          <w:b w:val="0"/>
          <w:i/>
        </w:rPr>
        <w:t xml:space="preserve">Xét đề nghị của Công ty Nhựa Rạng Đông (Công văn số 067/CV-TCKT ngày 16 tháng 02 năm 2005); </w:t>
      </w:r>
    </w:p>
    <w:p>
      <w:pPr>
        <w:jc w:val="both"/>
      </w:pPr>
      <w:r>
        <w:rPr>
          <w:b w:val="0"/>
          <w:i/>
        </w:rPr>
        <w:t xml:space="preserve">Theo đề nghị của Ban Đổi mới và Phát triển doanh nghiệp và Vụ trưởng Vụ Tổ chức - Cán bộ, </w:t>
      </w:r>
    </w:p>
    <w:p>
      <w:pPr>
        <w:jc w:val="center"/>
      </w:pPr>
      <w:r>
        <w:rPr>
          <w:b w:val="0"/>
          <w:i w:val="0"/>
        </w:rPr>
        <w:t xml:space="preserve"> </w:t>
      </w:r>
      <w:r>
        <w:rPr>
          <w:b/>
          <w:i w:val="0"/>
        </w:rPr>
        <w:t>QUYẾT ĐỊNH:</w:t>
      </w:r>
    </w:p>
    <w:p>
      <w:pPr>
        <w:jc w:val="both"/>
      </w:pPr>
      <w:r>
        <w:rPr>
          <w:b/>
          <w:i w:val="0"/>
        </w:rPr>
        <w:t xml:space="preserve">Điều 1. </w:t>
      </w:r>
      <w:r>
        <w:rPr>
          <w:b w:val="0"/>
          <w:i w:val="0"/>
        </w:rPr>
        <w:t>Sửa đổi khoản 1, khoản 3 Điều 1 Quyết định số 157/2004/QĐ-BCN ngày 06 tháng 12 năm 2004 của Bộ trưởng Bộ Công nghiệp về việc chuyển Công ty Nhựa Rạng Đông thành Công ty cổ phần Nhựa Rạng Đông như sau:</w:t>
      </w:r>
    </w:p>
    <w:p>
      <w:pPr>
        <w:jc w:val="both"/>
      </w:pPr>
      <w:r>
        <w:rPr>
          <w:b w:val="0"/>
          <w:i w:val="0"/>
        </w:rPr>
        <w:t>"1. Cơ cấu vốn điều lệ:</w:t>
      </w:r>
    </w:p>
    <w:p>
      <w:pPr>
        <w:jc w:val="both"/>
      </w:pPr>
      <w:r>
        <w:rPr>
          <w:b w:val="0"/>
          <w:i w:val="0"/>
        </w:rPr>
        <w:t>Vốn điều lệ của Công ty cổ phần là 82.480.000.000 đồng (Tám mươi hai tỷ, bốn trăm tám mươi triệu đồng chẵn). Trong đó:</w:t>
      </w:r>
    </w:p>
    <w:p>
      <w:pPr>
        <w:jc w:val="both"/>
      </w:pPr>
      <w:r>
        <w:rPr>
          <w:b w:val="0"/>
          <w:i w:val="0"/>
        </w:rPr>
        <w:t>- Tỷ lệ cổ phần của Nhà nước: 79,18 %;</w:t>
      </w:r>
    </w:p>
    <w:p>
      <w:pPr>
        <w:jc w:val="both"/>
      </w:pPr>
      <w:r>
        <w:rPr>
          <w:b w:val="0"/>
          <w:i w:val="0"/>
        </w:rPr>
        <w:t>- Tỷ lệ cổ phần bán cho người lao động trong Công ty: 17,07%;</w:t>
      </w:r>
    </w:p>
    <w:p>
      <w:pPr>
        <w:jc w:val="both"/>
      </w:pPr>
      <w:r>
        <w:rPr>
          <w:b w:val="0"/>
          <w:i w:val="0"/>
        </w:rPr>
        <w:t>- Tỷ lệ cổ phần bán ra ngoài doanh nghiệp: 3,75 %.</w:t>
      </w:r>
    </w:p>
    <w:p>
      <w:pPr>
        <w:jc w:val="both"/>
      </w:pPr>
      <w:r>
        <w:rPr>
          <w:b w:val="0"/>
          <w:i w:val="0"/>
        </w:rPr>
        <w:t>Trị giá một cổ phần: 100.000 đồng."</w:t>
      </w:r>
    </w:p>
    <w:p>
      <w:pPr>
        <w:jc w:val="both"/>
      </w:pPr>
      <w:r>
        <w:rPr>
          <w:b w:val="0"/>
          <w:i w:val="0"/>
        </w:rPr>
        <w:t>"3. Ưu đãi cho người lao động trong Công ty.</w:t>
      </w:r>
    </w:p>
    <w:p>
      <w:pPr>
        <w:jc w:val="both"/>
      </w:pPr>
      <w:r>
        <w:rPr>
          <w:b w:val="0"/>
          <w:i w:val="0"/>
        </w:rPr>
        <w:t>Tổng số cổ phần bán ưu đãi cho 648 lao động trong Công ty là 89.480 cổ phần với giá trị được ưu đãi là 2.684.400.000 đồng. Trong đó, bán ưu đãi trả chậm cho 116 lao động nghèo là 18.480 cổ phần, trị giá 1.293.600.000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Tổng giám đốc Công ty Nhựa Rạng Đông và Hội đồng quản trị Công ty cổ phần Nhựa Rạng Đông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rPr>
                <w:b w:val="0"/>
                <w:i w:val="0"/>
              </w:rPr>
              <w:t xml:space="preserve"> </w:t>
            </w:r>
            <w:r>
              <w:br/>
            </w:r>
            <w:r>
              <w:rPr>
                <w:b w:val="0"/>
                <w:i w:val="0"/>
              </w:rPr>
              <w:br/>
              <w:t xml:space="preserve">        - Như Điều 2,</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w:t>
            </w:r>
            <w:r>
              <w:br/>
            </w:r>
            <w:r>
              <w:rPr>
                <w:b w:val="0"/>
                <w:i w:val="0"/>
              </w:rPr>
              <w:br/>
              <w:t xml:space="preserve">        Nội vụ, LĐTB và XH, Tư pháp,</w:t>
            </w:r>
            <w:r>
              <w:br/>
            </w:r>
            <w:r>
              <w:rPr>
                <w:b w:val="0"/>
                <w:i w:val="0"/>
              </w:rPr>
              <w:br/>
              <w:t xml:space="preserve">        - Ngân hàng Nhà nước VN, </w:t>
            </w:r>
            <w:r>
              <w:br/>
            </w:r>
            <w:r>
              <w:rPr>
                <w:b w:val="0"/>
                <w:i w:val="0"/>
              </w:rPr>
              <w:br/>
              <w:t xml:space="preserve">        - UBND TP Hồ Chí Minh, </w:t>
            </w:r>
            <w:r>
              <w:br/>
            </w:r>
            <w:r>
              <w:rPr>
                <w:b w:val="0"/>
                <w:i w:val="0"/>
              </w:rPr>
              <w:br/>
              <w:t xml:space="preserve">        - Đ/c Bộ trưởng (để báo cáo), </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 BỘ CÔNG NGHIỆP</w:t>
            </w:r>
            <w:r>
              <w:rPr>
                <w:b w:val="0"/>
                <w:i w:val="0"/>
              </w:rPr>
              <w:t xml:space="preserve"> </w:t>
            </w:r>
            <w:r>
              <w:br/>
            </w:r>
            <w:r>
              <w:rPr>
                <w:b/>
                <w:i w:val="0"/>
              </w:rPr>
              <w:t>THỨ TRƯỞNG</w:t>
            </w:r>
            <w:r>
              <w:br/>
            </w:r>
            <w:r>
              <w:rPr>
                <w:b/>
                <w:i/>
              </w:rPr>
              <w:t>(Đã ký)</w:t>
            </w:r>
            <w:r>
              <w:rPr>
                <w:b w:val="0"/>
                <w:i w:val="0"/>
              </w:rPr>
              <w:br/>
            </w:r>
            <w:r>
              <w:rPr>
                <w:b/>
                <w:i w:val="0"/>
              </w:rPr>
              <w:t>Bùi Xuân Khu</w:t>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