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05/2010/TT-BTC Quy định mức thuế suất thuế nhập khẩu ưu đãi một số mặt hàng phục vụ cho việc đóng mới, sửa chữa, bảo dưỡng đầu máy, toa xe</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05/2010/TT-BTC</w:t>
        <w:br/>
        <w:t xml:space="preserve">     </w:t>
      </w:r>
      <w:r>
        <w:rPr>
          <w:b w:val="0"/>
          <w:i w:val="0"/>
        </w:rPr>
        <w:br/>
      </w:r>
      <w:r>
        <w:rPr>
          <w:b w:val="0"/>
          <w:i/>
        </w:rPr>
        <w:br/>
        <w:t xml:space="preserve">      Hà Nội, ngày 13 tháng 01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05/2010/TT-BTC</w:t>
        <w:br/>
        <w:t xml:space="preserve">     </w:t>
      </w:r>
      <w:r>
        <w:rPr>
          <w:b w:val="0"/>
          <w:i w:val="0"/>
        </w:rPr>
        <w:br/>
      </w:r>
      <w:r>
        <w:rPr>
          <w:b w:val="0"/>
          <w:i/>
        </w:rPr>
        <w:br/>
        <w:t xml:space="preserve">      Hà Nội, ngày 13 tháng 01 năm 2010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05/2010/TT-BTC</w:t>
        <w:br/>
        <w:t xml:space="preserve">     </w:t>
      </w:r>
      <w:r>
        <w:rPr>
          <w:b w:val="0"/>
          <w:i w:val="0"/>
        </w:rPr>
        <w:br/>
      </w:r>
      <w:r>
        <w:rPr>
          <w:b w:val="0"/>
          <w:i/>
        </w:rPr>
        <w:br/>
        <w:t xml:space="preserve">      Hà Nội, ngày 13 tháng 01 năm 2010</w:t>
        <w:br/>
        <w:t xml:space="preserve">     </w:t>
      </w:r>
      <w:r>
        <w:rPr>
          <w:b w:val="0"/>
          <w:i w:val="0"/>
        </w:rPr>
        <w:br/>
      </w:r>
    </w:p>
    <w:p>
      <w:pPr>
        <w:jc w:val="center"/>
      </w:pPr>
      <w:r>
        <w:rPr>
          <w:b w:val="0"/>
          <w:i w:val="0"/>
        </w:rPr>
        <w:br/>
        <w:t xml:space="preserve">      Số: 05/2010/TT-BTC</w:t>
        <w:br/>
        <w:t xml:space="preserve">     </w:t>
      </w:r>
    </w:p>
    <w:p>
      <w:pPr>
        <w:jc w:val="center"/>
      </w:pPr>
      <w:r>
        <w:rPr>
          <w:b w:val="0"/>
          <w:i w:val="0"/>
        </w:rPr>
        <w:br/>
        <w:t xml:space="preserve">      Hà Nội, ngày 13 tháng 01 năm 2010</w:t>
        <w:br/>
        <w:t xml:space="preserve">     </w:t>
      </w:r>
    </w:p>
    <w:p>
      <w:pPr>
        <w:jc w:val="center"/>
      </w:pPr>
      <w:r>
        <w:rPr>
          <w:b w:val="0"/>
          <w:i w:val="0"/>
        </w:rPr>
        <w:br/>
      </w:r>
      <w:r>
        <w:rPr>
          <w:b/>
          <w:i w:val="0"/>
        </w:rPr>
        <w:t>THÔNG TƯ</w:t>
      </w:r>
      <w:r>
        <w:rPr>
          <w:b w:val="0"/>
          <w:i w:val="0"/>
        </w:rPr>
        <w:br/>
      </w:r>
    </w:p>
    <w:p>
      <w:pPr>
        <w:jc w:val="center"/>
      </w:pPr>
      <w:r>
        <w:rPr>
          <w:b w:val="0"/>
          <w:i w:val="0"/>
        </w:rPr>
        <w:br/>
      </w:r>
      <w:r>
        <w:rPr>
          <w:b/>
          <w:i w:val="0"/>
        </w:rPr>
        <w:t xml:space="preserve">Quy định mức thuế suất thuế nhập khẩu ưu đãi một số mặt hàng phục vụ cho việc </w:t>
      </w:r>
      <w:r>
        <w:rPr>
          <w:b/>
          <w:i w:val="0"/>
        </w:rPr>
        <w:t>đóng mới, sửa chữa, bảo dưỡng đầu máy, toa xe</w:t>
      </w:r>
      <w:r>
        <w:rPr>
          <w:b w:val="0"/>
          <w:i w:val="0"/>
        </w:rPr>
        <w:br/>
      </w:r>
    </w:p>
    <w:p>
      <w:pPr>
        <w:jc w:val="both"/>
      </w:pPr>
      <w:r>
        <w:rPr>
          <w:b w:val="0"/>
          <w:i w:val="0"/>
        </w:rPr>
        <w:br/>
      </w:r>
      <w:r>
        <w:rPr>
          <w:b w:val="0"/>
          <w:i w:val="0"/>
        </w:rPr>
        <w:t>Căn cứ Luật thuế xuất khẩu, thuế nhập khẩu ngày 14/6/2005;</w:t>
      </w:r>
      <w:r>
        <w:rPr>
          <w:b w:val="0"/>
          <w:i w:val="0"/>
        </w:rPr>
        <w:br/>
      </w:r>
    </w:p>
    <w:p>
      <w:pPr>
        <w:jc w:val="both"/>
      </w:pPr>
      <w:r>
        <w:rPr>
          <w:b w:val="0"/>
          <w:i w:val="0"/>
        </w:rPr>
        <w:br/>
      </w:r>
      <w:r>
        <w:rPr>
          <w:b w:val="0"/>
          <w:i w:val="0"/>
        </w:rPr>
        <w:t>Căn cứ Nghị quyết số 295/2007/NQ-UBTVQH12 ngày 28/9/2007 của Ủy ban Thường vụ Quốc hội về việc ban hành Biểu thuế xuất khẩu theo danh mục nhóm hàng chịu thuế và khung thuế suất đối với từng nhóm hàng, Biểu thuế nhập khẩu ưu đãi theo danh mục nhóm hàng chịu thuế và khung thuế suất ưu đãi đối với từng nhóm hàng;</w:t>
      </w:r>
      <w:r>
        <w:rPr>
          <w:b w:val="0"/>
          <w:i w:val="0"/>
        </w:rPr>
        <w:br/>
      </w:r>
    </w:p>
    <w:p>
      <w:pPr>
        <w:jc w:val="both"/>
      </w:pPr>
      <w:r>
        <w:rPr>
          <w:b w:val="0"/>
          <w:i w:val="0"/>
        </w:rPr>
        <w:br/>
      </w:r>
      <w:r>
        <w:rPr>
          <w:b w:val="0"/>
          <w:i w:val="0"/>
        </w:rPr>
        <w:t>Căn cứ Nghị quyết số 710/2008/NQ-UBTVQH12 ngày 22/11/2008 của Uỷ ban Thường vụ Quốc hội về việc sửa đổi Nghị quyết số 295/2007/NQ-UBTVQH12 ngày 28/9/2007;</w:t>
      </w:r>
      <w:r>
        <w:rPr>
          <w:b w:val="0"/>
          <w:i w:val="0"/>
        </w:rPr>
        <w:br/>
      </w:r>
    </w:p>
    <w:p>
      <w:pPr>
        <w:jc w:val="both"/>
      </w:pPr>
      <w:r>
        <w:rPr>
          <w:b w:val="0"/>
          <w:i w:val="0"/>
        </w:rPr>
        <w:br/>
      </w:r>
      <w:r>
        <w:rPr>
          <w:b w:val="0"/>
          <w:i w:val="0"/>
        </w:rPr>
        <w:t>Căn cứ Nghị quyết số 830/2009/UBTVQH12 ngày 17/10/2009 của Uỷ ban Thường vụ Quốc hội về việc sửa đổi Nghị quyết số 295/2007/NQ-UBTVQH12 ngày 28/9/2007 và Nghị quyết số 710/2008/NQ-UBTVQH12 ngày 22/11/2008;</w:t>
      </w:r>
      <w:r>
        <w:rPr>
          <w:b w:val="0"/>
          <w:i w:val="0"/>
        </w:rPr>
        <w:br/>
      </w:r>
    </w:p>
    <w:p>
      <w:pPr>
        <w:jc w:val="both"/>
      </w:pPr>
      <w:r>
        <w:rPr>
          <w:b w:val="0"/>
          <w:i w:val="0"/>
        </w:rPr>
        <w:br/>
      </w:r>
      <w:r>
        <w:rPr>
          <w:b w:val="0"/>
          <w:i w:val="0"/>
        </w:rPr>
        <w:t>Căn cứ Nghị định số 149/2005/NĐ-CP ngày 08/12/2005 của Chính phủ quy định chi tiết thi hành Luật thuế xuất khẩu, thuế nhập khẩu;</w:t>
      </w:r>
      <w:r>
        <w:rPr>
          <w:b w:val="0"/>
          <w:i w:val="0"/>
        </w:rPr>
        <w:br/>
      </w:r>
    </w:p>
    <w:p>
      <w:pPr>
        <w:jc w:val="both"/>
      </w:pPr>
      <w:r>
        <w:rPr>
          <w:b w:val="0"/>
          <w:i w:val="0"/>
        </w:rPr>
        <w:br/>
      </w:r>
      <w:r>
        <w:rPr>
          <w:b w:val="0"/>
          <w:i w:val="0"/>
        </w:rPr>
        <w:t>Căn cứ Nghị định số 118/2008/NĐ-CP ngày 27/11/2008 củaChính phủ quy định chức năng, nhiệm vụ, quyền hạn và cơ cấu tổ chức của Bộ Tài chính;</w:t>
      </w:r>
      <w:r>
        <w:rPr>
          <w:b w:val="0"/>
          <w:i w:val="0"/>
        </w:rPr>
        <w:br/>
      </w:r>
    </w:p>
    <w:p>
      <w:pPr>
        <w:jc w:val="both"/>
      </w:pPr>
      <w:r>
        <w:rPr>
          <w:b w:val="0"/>
          <w:i w:val="0"/>
        </w:rPr>
        <w:br/>
      </w:r>
      <w:r>
        <w:rPr>
          <w:b w:val="0"/>
          <w:i w:val="0"/>
        </w:rPr>
        <w:t>Căn cứ Thông báo số 115/TB-VPCP ngày 02/4/2009 củaVăn phòng Chính phủ thông báo Kết luận củaThủ tướng Chính phủ Nguyễn Tấn Dũng tại cuộc họp Thường trực Chính phủ về sản xuất kinh doanh của Tổng Công ty Đường sắt Việt Nam và Báo cáo đầu tư Dự án Đường sắt cao tốc Hà Nội – thành phố Hồ Chí Minh;</w:t>
      </w:r>
      <w:r>
        <w:rPr>
          <w:b w:val="0"/>
          <w:i w:val="0"/>
        </w:rPr>
        <w:br/>
      </w:r>
    </w:p>
    <w:p>
      <w:pPr>
        <w:jc w:val="both"/>
      </w:pPr>
      <w:r>
        <w:rPr>
          <w:b w:val="0"/>
          <w:i w:val="0"/>
        </w:rPr>
        <w:br/>
      </w:r>
      <w:r>
        <w:rPr>
          <w:b w:val="0"/>
          <w:i w:val="0"/>
        </w:rPr>
        <w:t xml:space="preserve">Sau khi có ý kiến thống nhất của </w:t>
      </w:r>
      <w:r>
        <w:rPr>
          <w:b w:val="0"/>
          <w:i w:val="0"/>
        </w:rPr>
        <w:t>Bộ Giao thông vận tải</w:t>
      </w:r>
      <w:r>
        <w:rPr>
          <w:b w:val="0"/>
          <w:i w:val="0"/>
        </w:rPr>
        <w:t xml:space="preserve"> tại công văn số 7465/BGTVT-KHĐT ngày 27/10/2009, Bộ Kế hoạch và Đầu tư tại công văn số 8224/BKH-KTCN ngày 27/10/2009, Bộ Khoa học và Công nghệ tại công văn số 2695/BKHCN-KHTC ngày 29/10/2009, Bộ Tài chính quy định mức thuế suất thuế nhập khẩu ưu đãi một số mặt hàng phục vụ cho việc đóng mới, sửa chữa, bảo dưỡng đầu máy, toa xe như sau: </w:t>
      </w:r>
      <w:r>
        <w:rPr>
          <w:b w:val="0"/>
          <w:i w:val="0"/>
        </w:rPr>
        <w:br/>
      </w:r>
    </w:p>
    <w:p>
      <w:pPr>
        <w:jc w:val="both"/>
      </w:pPr>
      <w:r>
        <w:rPr>
          <w:b/>
          <w:i w:val="0"/>
        </w:rPr>
        <w:t>Điều 1. Mức thuế suất thuế nhập khẩu ưu đãi</w:t>
      </w:r>
    </w:p>
    <w:p>
      <w:pPr>
        <w:jc w:val="both"/>
      </w:pPr>
      <w:r>
        <w:rPr>
          <w:b w:val="0"/>
          <w:i w:val="0"/>
        </w:rPr>
        <w:t>Ban hành kèm theo Thông tư này Danh mục mức thuế suất thuế nhập khẩu ưu đãi một số mặt hàng phục vụ cho việc đóng mới, sửa chữa, bảo dưỡng đầu máy, toa xe.</w:t>
      </w:r>
    </w:p>
    <w:p>
      <w:pPr>
        <w:jc w:val="both"/>
      </w:pPr>
      <w:r>
        <w:rPr>
          <w:b/>
          <w:i w:val="0"/>
        </w:rPr>
        <w:t>Điều 2. Tổ chức thực hiện</w:t>
      </w:r>
    </w:p>
    <w:p>
      <w:pPr>
        <w:jc w:val="both"/>
      </w:pPr>
      <w:r>
        <w:rPr>
          <w:b w:val="0"/>
          <w:i w:val="0"/>
        </w:rPr>
        <w:t>1. Thông tư này có hiệu lực thi hành sau 45 ngày, kể từ ngày ký.</w:t>
      </w:r>
    </w:p>
    <w:p>
      <w:pPr>
        <w:jc w:val="both"/>
      </w:pPr>
      <w:r>
        <w:rPr>
          <w:b w:val="0"/>
          <w:i w:val="0"/>
        </w:rPr>
        <w:t>2. Khi nhập khẩu doanh nghiệp phải xuất trình giấy xác nhận của Tổng công ty Đường sắt Việt Nam đối với hàng hoá nhập khẩu phục vụ cho việc đóng mới, sửa chữa, bảo dưỡng đầu máy, toa xe. Các hàng hoá nhập khẩu không đảm bảo điều kiện quy định trên thì áp dụng theo mức thuế suất thuế nhập khẩu ưu đãi quy định tại Thông tư số 216/2009/TT-BTC ngày 12/11/2009 của Bộ Tài chính quy định mức thuế suất của Biểu thuế xuất khẩu, Biểu thuế nhập khẩu ưu đãi theo danh mục mặt hàng chịu thuế./.</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br/>
            </w:r>
            <w:r>
              <w:rPr>
                <w:b w:val="0"/>
                <w:i w:val="0"/>
              </w:rPr>
              <w:t>- Thủ tướng Chính phủ, các Phó TTCP;</w:t>
            </w:r>
            <w:r>
              <w:br/>
            </w:r>
            <w:r>
              <w:rPr>
                <w:b w:val="0"/>
                <w:i w:val="0"/>
              </w:rPr>
              <w:br/>
              <w:t xml:space="preserve">         - Văn phòng TW và các Ban của Đảng;</w:t>
            </w:r>
            <w:r>
              <w:br/>
            </w:r>
            <w:r>
              <w:rPr>
                <w:b w:val="0"/>
                <w:i w:val="0"/>
              </w:rPr>
              <w:br/>
              <w:t xml:space="preserve">         - Văn phòng Quốc hội;</w:t>
            </w:r>
            <w:r>
              <w:br/>
            </w:r>
            <w:r>
              <w:rPr>
                <w:b w:val="0"/>
                <w:i w:val="0"/>
              </w:rPr>
              <w:br/>
              <w:t xml:space="preserve">         - Văn phòng Chủ tịch nước;</w:t>
            </w:r>
            <w:r>
              <w:br/>
            </w:r>
            <w:r>
              <w:rPr>
                <w:b w:val="0"/>
                <w:i w:val="0"/>
              </w:rPr>
              <w:br/>
              <w:t xml:space="preserve">         - Tòa án nhân dân TC;</w:t>
            </w:r>
            <w:r>
              <w:br/>
            </w:r>
            <w:r>
              <w:rPr>
                <w:b w:val="0"/>
                <w:i w:val="0"/>
              </w:rPr>
              <w:br/>
              <w:t xml:space="preserve">         - Viện Kiểm sát nhân dân TC;</w:t>
            </w:r>
            <w:r>
              <w:br/>
            </w:r>
            <w:r>
              <w:rPr>
                <w:b w:val="0"/>
                <w:i w:val="0"/>
              </w:rPr>
              <w:br/>
              <w:t xml:space="preserve">         - Kiểm toán Nhà nước;</w:t>
            </w:r>
            <w:r>
              <w:br/>
            </w:r>
            <w:r>
              <w:rPr>
                <w:b w:val="0"/>
                <w:i w:val="0"/>
              </w:rPr>
              <w:br/>
              <w:t xml:space="preserve">         - Văn phòng BCĐTW về phòng chống tham nhũng;</w:t>
            </w:r>
            <w:r>
              <w:br/>
            </w:r>
            <w:r>
              <w:rPr>
                <w:b w:val="0"/>
                <w:i w:val="0"/>
              </w:rPr>
              <w:br/>
              <w:t xml:space="preserve">         - Các Bộ, cơ quan ngang Bộ, cơ quan thuộc Chính phủ;</w:t>
            </w:r>
            <w:r>
              <w:br/>
            </w:r>
            <w:r>
              <w:rPr>
                <w:b w:val="0"/>
                <w:i w:val="0"/>
              </w:rPr>
              <w:br/>
              <w:t xml:space="preserve">         - UBND các tỉnh, thành phố trực thuộc Trung ương;</w:t>
            </w:r>
            <w:r>
              <w:br/>
            </w:r>
            <w:r>
              <w:rPr>
                <w:b w:val="0"/>
                <w:i w:val="0"/>
              </w:rPr>
              <w:br/>
              <w:t xml:space="preserve">         - Phòng Thương mại và Công nghiệp Việt Nam;</w:t>
            </w:r>
            <w:r>
              <w:br/>
            </w:r>
            <w:r>
              <w:rPr>
                <w:b w:val="0"/>
                <w:i w:val="0"/>
              </w:rPr>
              <w:br/>
              <w:t xml:space="preserve">         - Cục Kiểm tra văn bản (Bộ Tư pháp);</w:t>
            </w:r>
            <w:r>
              <w:br/>
            </w:r>
            <w:r>
              <w:rPr>
                <w:b w:val="0"/>
                <w:i w:val="0"/>
              </w:rPr>
              <w:br/>
              <w:t xml:space="preserve">         - Tổng công ty Đường sắt Việt Nam;</w:t>
            </w:r>
            <w:r>
              <w:br/>
            </w:r>
            <w:r>
              <w:rPr>
                <w:b w:val="0"/>
                <w:i w:val="0"/>
              </w:rPr>
              <w:br/>
              <w:t xml:space="preserve">         - Cục Hải quan các tỉnh, thành phố;</w:t>
            </w:r>
            <w:r>
              <w:br/>
            </w:r>
            <w:r>
              <w:rPr>
                <w:b w:val="0"/>
                <w:i w:val="0"/>
              </w:rPr>
              <w:br/>
              <w:t xml:space="preserve">         - Công báo;</w:t>
            </w:r>
            <w:r>
              <w:br/>
            </w:r>
            <w:r>
              <w:rPr>
                <w:b w:val="0"/>
                <w:i w:val="0"/>
              </w:rPr>
              <w:br/>
              <w:t xml:space="preserve">         - Website Chính phủ;</w:t>
            </w:r>
            <w:r>
              <w:br/>
            </w:r>
            <w:r>
              <w:rPr>
                <w:b w:val="0"/>
                <w:i w:val="0"/>
              </w:rPr>
              <w:br/>
              <w:t xml:space="preserve">         - Website Bộ Tài chính;</w:t>
            </w:r>
            <w:r>
              <w:br/>
            </w:r>
            <w:r>
              <w:rPr>
                <w:b w:val="0"/>
                <w:i w:val="0"/>
              </w:rPr>
              <w:br/>
              <w:t xml:space="preserve">         - Các đơn vị thuộc Bộ Tài chính;</w:t>
            </w:r>
            <w:r>
              <w:br/>
            </w:r>
            <w:r>
              <w:rPr>
                <w:b w:val="0"/>
                <w:i w:val="0"/>
              </w:rPr>
              <w:br/>
              <w:t xml:space="preserve">         - Lưu: VT, CST (P</w:t>
            </w:r>
            <w:r>
              <w:rPr>
                <w:b w:val="0"/>
                <w:i w:val="0"/>
              </w:rPr>
              <w:t>XNK</w:t>
            </w:r>
            <w:r>
              <w:rPr>
                <w:b w:val="0"/>
                <w:i w:val="0"/>
              </w:rPr>
              <w:t>).</w:t>
            </w:r>
          </w:p>
        </w:tc>
        <w:tc>
          <w:tcPr>
            <w:tcW w:type="dxa" w:w="4320"/>
          </w:tcPr>
          <w:p>
            <w:r>
              <w:rPr>
                <w:b w:val="0"/>
                <w:i w:val="0"/>
              </w:rPr>
              <w:br/>
            </w:r>
            <w:r>
              <w:rPr>
                <w:b/>
                <w:i w:val="0"/>
              </w:rPr>
              <w:t>KT. BỘ TRƯỞNG</w:t>
            </w:r>
            <w:r>
              <w:br/>
            </w:r>
            <w:r>
              <w:rPr>
                <w:b/>
                <w:i w:val="0"/>
              </w:rPr>
              <w:br/>
              <w:t xml:space="preserve">         THỨ TRƯỞNG</w:t>
            </w:r>
            <w:r>
              <w:br/>
            </w:r>
            <w:r>
              <w:br/>
            </w:r>
            <w:r>
              <w:br/>
            </w:r>
            <w:r>
              <w:rPr>
                <w:b/>
                <w:i w:val="0"/>
              </w:rPr>
              <w:br/>
              <w:t xml:space="preserve">         (đã ký)</w:t>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