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06/1999/QĐ-BNN/TCCB Về việc tiếp nhận doanh nghiệp làm thành viên Tổng công ty xây dựng thuỷ lợi 1</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06/1999/QĐ-BNN-TCCB3</w:t>
      </w:r>
      <w:r>
        <w:rPr>
          <w:b w:val="0"/>
          <w:i w:val="0"/>
        </w:rPr>
        <w:br/>
      </w:r>
      <w:r>
        <w:rPr>
          <w:b w:val="0"/>
          <w:i w:val="0"/>
        </w:rPr>
        <w:br/>
      </w:r>
      <w:r>
        <w:rPr>
          <w:b w:val="0"/>
          <w:i/>
        </w:rPr>
        <w:br/>
      </w:r>
      <w:r>
        <w:rPr>
          <w:b w:val="0"/>
          <w:i/>
        </w:rPr>
        <w:t>Hà Nội, ngày 12 tháng 01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06/1999/QĐ-BNN-TCCB3</w:t>
      </w:r>
      <w:r>
        <w:rPr>
          <w:b w:val="0"/>
          <w:i w:val="0"/>
        </w:rPr>
        <w:br/>
      </w:r>
      <w:r>
        <w:rPr>
          <w:b w:val="0"/>
          <w:i w:val="0"/>
        </w:rPr>
        <w:br/>
      </w:r>
      <w:r>
        <w:rPr>
          <w:b w:val="0"/>
          <w:i/>
        </w:rPr>
        <w:br/>
      </w:r>
      <w:r>
        <w:rPr>
          <w:b w:val="0"/>
          <w:i/>
        </w:rPr>
        <w:t>Hà Nội, ngày 12 tháng 01 năm 1999</w:t>
      </w:r>
      <w:r>
        <w:rPr>
          <w:b w:val="0"/>
          <w:i/>
        </w:rPr>
        <w:br/>
      </w:r>
      <w:r>
        <w:rPr>
          <w:b w:val="0"/>
          <w:i w:val="0"/>
        </w:rPr>
        <w:br/>
      </w:r>
    </w:p>
    <w:p>
      <w:pPr>
        <w:jc w:val="center"/>
      </w:pPr>
      <w:r>
        <w:rPr>
          <w:b w:val="0"/>
          <w:i w:val="0"/>
        </w:rPr>
        <w:br/>
      </w:r>
      <w:r>
        <w:rPr>
          <w:b w:val="0"/>
          <w:i w:val="0"/>
        </w:rPr>
        <w:t>Số: 06/1999/QĐ-BNN-TCCB3</w:t>
      </w:r>
      <w:r>
        <w:rPr>
          <w:b w:val="0"/>
          <w:i w:val="0"/>
        </w:rPr>
        <w:br/>
      </w:r>
    </w:p>
    <w:p>
      <w:pPr>
        <w:jc w:val="center"/>
      </w:pPr>
      <w:r>
        <w:rPr>
          <w:b w:val="0"/>
          <w:i w:val="0"/>
        </w:rPr>
        <w:br/>
      </w:r>
      <w:r>
        <w:rPr>
          <w:b w:val="0"/>
          <w:i w:val="0"/>
        </w:rPr>
        <w:t>Hà Nội, ngày 12 tháng 01 năm 1999</w:t>
      </w:r>
      <w:r>
        <w:rPr>
          <w:b w:val="0"/>
          <w:i w:val="0"/>
        </w:rPr>
        <w:br/>
      </w:r>
    </w:p>
    <w:p>
      <w:r>
        <w:rPr>
          <w:b w:val="0"/>
          <w:i w:val="0"/>
        </w:rPr>
        <w:br/>
      </w:r>
      <w:r>
        <w:rPr>
          <w:b/>
          <w:i w:val="0"/>
        </w:rPr>
        <w:t xml:space="preserve">QUYẾT ĐỊNH </w:t>
      </w:r>
      <w:r>
        <w:rPr>
          <w:b w:val="0"/>
          <w:i w:val="0"/>
        </w:rPr>
        <w:br/>
      </w:r>
      <w:r>
        <w:rPr>
          <w:b/>
          <w:i w:val="0"/>
        </w:rPr>
        <w:t>Về việc tiếp nhận doanh nghiệp làm thành viên Tổng côngty xây dựng thuỷ lợi I</w:t>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w:t>
      </w:r>
      <w:r>
        <w:rPr>
          <w:b w:val="0"/>
          <w:i w:val="0"/>
        </w:rPr>
        <w:t xml:space="preserve">y </w:t>
      </w:r>
      <w:r>
        <w:rPr>
          <w:b w:val="0"/>
          <w:i/>
        </w:rPr>
        <w:t>01/11/1995</w:t>
      </w:r>
      <w:r>
        <w:rPr>
          <w:b w:val="0"/>
          <w:i/>
        </w:rPr>
        <w:t xml:space="preserve"> của Chính phủ về chức năng, nhiệm vụ quyền hạn và tổ chức bộ máy của Bộ Nông nghiệp và Phát triển nông nghiệp nông thôn;</w:t>
      </w:r>
      <w:r>
        <w:rPr>
          <w:b w:val="0"/>
          <w:i w:val="0"/>
        </w:rPr>
        <w:br/>
      </w:r>
      <w:r>
        <w:rPr>
          <w:b w:val="0"/>
          <w:i/>
        </w:rPr>
        <w:t>Căn cứ Luật doanh nghiệp nhà nước ngày 20/4/1995, Nghị định 50-CP ngày 28/8/1996 của Chính phủ về thành lập, tổ chức lại, giải thể và phá sản doanh nghiệp nhà nước;</w:t>
      </w:r>
      <w:r>
        <w:rPr>
          <w:b w:val="0"/>
          <w:i w:val="0"/>
        </w:rPr>
        <w:br/>
      </w:r>
      <w:r>
        <w:rPr>
          <w:b w:val="0"/>
          <w:i/>
        </w:rPr>
        <w:t>Xét hồ sơ xin ra nhập Tổng Công ty Xây dựng thuỷ lợi của Công ty Xây dựng thủy lợi Nam Sông Hồng thuộc tỉnh Nam Định và đề nghị của UBND tỉnh Nam Định tại công văn số 83/VP5 ngày 7/7/1998;</w:t>
      </w:r>
      <w:r>
        <w:rPr>
          <w:b w:val="0"/>
          <w:i w:val="0"/>
        </w:rPr>
        <w:br/>
      </w:r>
      <w:r>
        <w:rPr>
          <w:b w:val="0"/>
          <w:i/>
        </w:rPr>
        <w:t>Xét đề nghị của Hội đồng quản trị Tổng Công ty Xây dựng Thủy lợi I tại tờ trình số 238/TCT1-TC/TTr ngày 13/7/1998 và tờ trình số 430/TT-TCT ngày 23/11/1998;</w:t>
      </w:r>
      <w:r>
        <w:rPr>
          <w:b w:val="0"/>
          <w:i w:val="0"/>
        </w:rPr>
        <w:br/>
      </w:r>
      <w:r>
        <w:rPr>
          <w:b w:val="0"/>
          <w:i/>
        </w:rPr>
        <w:t>Theo đề nghị của Vụ trưởng Vụ Tổ chức cán bộ,</w:t>
      </w:r>
      <w:r>
        <w:rPr>
          <w:b w:val="0"/>
          <w:i w:val="0"/>
        </w:rPr>
        <w:br/>
      </w:r>
      <w:r>
        <w:rPr>
          <w:b/>
          <w:i w:val="0"/>
        </w:rPr>
        <w:t>QUYẾT ĐỊNH:</w:t>
      </w:r>
      <w:r>
        <w:rPr>
          <w:b w:val="0"/>
          <w:i w:val="0"/>
        </w:rPr>
        <w:br/>
      </w:r>
      <w:r>
        <w:rPr>
          <w:b/>
          <w:i w:val="0"/>
        </w:rPr>
        <w:t xml:space="preserve">Điều 1. </w:t>
      </w:r>
      <w:r>
        <w:rPr>
          <w:b w:val="0"/>
          <w:i w:val="0"/>
        </w:rPr>
        <w:t>Tiếp nhận Công ty Xây dựng Thủy lợi Nam Sông Hồng thuộc tỉnh Nam Định làm thành viên Tổng công ty Xây dựng thủy lợi I.</w:t>
      </w:r>
      <w:r>
        <w:rPr>
          <w:b w:val="0"/>
          <w:i w:val="0"/>
        </w:rPr>
        <w:br/>
      </w:r>
      <w:r>
        <w:rPr>
          <w:b/>
          <w:i w:val="0"/>
        </w:rPr>
        <w:t xml:space="preserve">Điều 2. </w:t>
      </w:r>
      <w:r>
        <w:rPr>
          <w:b w:val="0"/>
          <w:i w:val="0"/>
        </w:rPr>
        <w:t>Hội đồng quản trị và Tổng giám đốc Tổng Công ty Xây dựng thủy lợi làm việc cụ thể với UBND tỉnh Nam Định, Cơ quan quản lý vốn và tài sản Nhà nước tại doanh nghiệp để tổ chức tiếp nhận Công ty Xây dựng Thuỷ lợi Nam Sông Hồng cùng toàn bộ vốn, tài sản, công nợ của doanh nghiệp cho đến ngày nhận bàn giao và thực hiện việc quản lý Công ty Xây dựng Nam Sông Hồng theo các quy định hiện hành.</w:t>
      </w:r>
      <w:r>
        <w:rPr>
          <w:b w:val="0"/>
          <w:i w:val="0"/>
        </w:rPr>
        <w:br/>
      </w:r>
      <w:r>
        <w:rPr>
          <w:b/>
          <w:i w:val="0"/>
        </w:rPr>
        <w:t xml:space="preserve">Điều 3. </w:t>
      </w:r>
      <w:r>
        <w:rPr>
          <w:b w:val="0"/>
          <w:i w:val="0"/>
        </w:rPr>
        <w:t>Quyết định này có hiệu lực sau 15 ngày, kể từ ngày ký.</w:t>
      </w:r>
      <w:r>
        <w:rPr>
          <w:b w:val="0"/>
          <w:i w:val="0"/>
        </w:rPr>
        <w:br/>
      </w:r>
      <w:r>
        <w:rPr>
          <w:b w:val="0"/>
          <w:i w:val="0"/>
        </w:rPr>
        <w:t>Chánh Văn phòng Bộ, Vụ trưởng Vụ Tổ chức cán bộ, Thủ trưởng các đơn vị thuộc Bộ có liên quan, Chủ tịch Hội đồng quản trị và Tổng giám đốc Tổng công ty xây dựng Thuỷ lợi I, Giám đốc Sở Nông nghiệp và Phát triển nông thôn Nam Định, Giám đốc công ty Xây dựng thuỷ lợi Nam Sông Hồng chịu trách nhiệm thi hành quyết định./.</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