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06/2004/QĐ-BCN Về việc chuyển Xí nghiệp Đóng tàu Hạ Long về làm doanh nghiệp thành viên hạch toán độc lập của Tổng Công ty Than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QUYẾT ĐỊNH</w:t>
      </w:r>
    </w:p>
    <w:p>
      <w:r>
        <w:rPr>
          <w:b/>
          <w:i/>
        </w:rPr>
        <w:t xml:space="preserve">Về việc chuyển Xí nghiệp Đóng tàu Hạ Long về làm doanh nghiệp </w:t>
      </w:r>
      <w:r>
        <w:rPr>
          <w:b/>
          <w:i/>
        </w:rPr>
        <w:t xml:space="preserve">thành </w:t>
      </w:r>
    </w:p>
    <w:p>
      <w:r>
        <w:rPr>
          <w:b/>
          <w:i/>
        </w:rPr>
        <w:t>viên hạch toán độc lập của Tổng công ty</w:t>
      </w:r>
      <w:r>
        <w:rPr>
          <w:b w:val="0"/>
          <w:i/>
        </w:rPr>
        <w:t xml:space="preserve"> </w:t>
      </w:r>
      <w:r>
        <w:rPr>
          <w:b/>
          <w:i/>
        </w:rPr>
        <w:t>Than Việt Nam</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50/CP ngày 28 tháng 8 năm 1996 của Chính phủ về việc thành lập, tổ chức lại, giải thể và phá sản doanh nghiệp nhà nước;</w:t>
      </w:r>
    </w:p>
    <w:p>
      <w:r>
        <w:rPr>
          <w:b w:val="0"/>
          <w:i/>
        </w:rPr>
        <w:t>Căn cứ Công văn số 69/CP-ĐMDN ngày 08 tháng 01 năm 2004 của Chính phủ về việc tiếp nhận Xí nghiệp Đóng tàu Hạ Long về làm doanh nghiệp thành viên Tổng công ty Than Việt Nam;</w:t>
      </w:r>
    </w:p>
    <w:p>
      <w:r>
        <w:rPr>
          <w:b w:val="0"/>
          <w:i/>
        </w:rPr>
        <w:t>Theo đề nghị của Vụ trưởng Vụ Tổ chức - Cán bộ,</w:t>
      </w:r>
    </w:p>
    <w:p>
      <w:r>
        <w:rPr>
          <w:b/>
          <w:i w:val="0"/>
        </w:rPr>
        <w:t xml:space="preserve">QUYẾT ĐỊNH: </w:t>
      </w:r>
    </w:p>
    <w:p>
      <w:r>
        <w:rPr>
          <w:b/>
          <w:i w:val="0"/>
        </w:rPr>
        <w:t xml:space="preserve">Điều 1. </w:t>
      </w:r>
      <w:r>
        <w:rPr>
          <w:b w:val="0"/>
          <w:i w:val="0"/>
        </w:rPr>
        <w:t>Chuyển Xí nghiệp Đóng tàu Hạ Long, doanh nghiệp nhà nước độc lập trực thuộc Uỷ ban nhân dân tỉnh Quảng Ninh về làm doanh nghiệp thành viên hạch toán độc lập của Tổng công ty Than Việt Nam và thực hiện cổ phần hoá vào năm 2005.</w:t>
      </w:r>
    </w:p>
    <w:p>
      <w:r>
        <w:rPr>
          <w:b/>
          <w:i w:val="0"/>
        </w:rPr>
        <w:t xml:space="preserve">Điều 2. </w:t>
      </w:r>
      <w:r>
        <w:rPr>
          <w:b w:val="0"/>
          <w:i w:val="0"/>
        </w:rPr>
        <w:t>Tổng công ty Than Việt Nam có trách nhiệm làm việc với Uỷ ban nhân dân tỉnh Quảng Ninh để thực hiện việc chuyển giao này theo đúng các quy định của pháp luật.</w:t>
      </w:r>
    </w:p>
    <w:p>
      <w:r>
        <w:rPr>
          <w:b/>
          <w:i w:val="0"/>
        </w:rPr>
        <w:t xml:space="preserve">Điều 3.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Uỷ ban nhân dân tỉnh Quảng Ninh, Chủ tịch Hội đồng quản trị và Tổng giám đốc Tổng công ty Than Việt Nam, Giám đốc Xí nghiệp Đóng tàu Hạ Long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