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06/CT-TCBĐ Về việc Triển khai kết quả Đại hội Toàn thể các nước Thành viên INTELSAT lần thứ 25 năm 2000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TỔNG CỤC BƯU </w:t>
            </w:r>
            <w:r>
              <w:rPr>
                <w:b w:val="0"/>
                <w:i w:val="0"/>
              </w:rPr>
              <w:br/>
            </w:r>
            <w:r>
              <w:rPr>
                <w:b/>
                <w:i w:val="0"/>
              </w:rPr>
              <w:t>ĐIỆN</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p>
      <w:pPr>
        <w:jc w:val="center"/>
      </w:pPr>
      <w:r>
        <w:rPr>
          <w:b/>
          <w:i w:val="0"/>
        </w:rPr>
        <w:t>CHỈ THỊ</w:t>
      </w:r>
    </w:p>
    <w:p>
      <w:pPr>
        <w:jc w:val="center"/>
      </w:pPr>
      <w:r>
        <w:rPr>
          <w:b/>
          <w:i w:val="0"/>
        </w:rPr>
        <w:t xml:space="preserve">Về việc Triển khai kết quả Đại hội Toàn thể </w:t>
      </w:r>
    </w:p>
    <w:p>
      <w:pPr>
        <w:jc w:val="center"/>
      </w:pPr>
      <w:r>
        <w:rPr>
          <w:b/>
          <w:i w:val="0"/>
        </w:rPr>
        <w:t>các nước Thành viên INTELSAT lần thứ 25 năm 2000</w:t>
      </w:r>
    </w:p>
    <w:p>
      <w:pPr>
        <w:jc w:val="center"/>
      </w:pPr>
      <w:r>
        <w:rPr>
          <w:b/>
          <w:i w:val="0"/>
        </w:rPr>
        <w:t>-------------------------</w:t>
      </w:r>
    </w:p>
    <w:p>
      <w:r>
        <w:rPr>
          <w:b w:val="0"/>
          <w:i w:val="0"/>
        </w:rPr>
        <w:t>Từ ngày 13 - 17/11/2000, được sự ủy quyền của Thủ tướng Chính phủ, đoàn đại biểu Việt Nam đã tham dự Đại hội Toàn thể các nước Thành viên INTELSAT lần thứ 25 tại Washington D.C. (Mỹ).</w:t>
      </w:r>
    </w:p>
    <w:p>
      <w:r>
        <w:rPr>
          <w:b w:val="0"/>
          <w:i w:val="0"/>
        </w:rPr>
        <w:t xml:space="preserve">Đại hội lần này đã thông qua các vấn đề liên quan đến việc cơ cấu lại tổ chức của INTELSAT, bao gồm đổi mới mô hình tổ chức, sửa đổi và bổ sung các Hiệp định INTELSAT, chuyển giao tần số, quỹ đạo vệ tinh, và một số vấn đề khác để tạo điều kiện cho Intelsat mới hoạt động linh hoạt hơn, nâng cao hiệu quả kinh doanh, đáp ứng được môi trường cạnh tranh và nhu cầu sử dụng dịch vụ qua vệ tinh. </w:t>
      </w:r>
    </w:p>
    <w:p>
      <w:r>
        <w:rPr>
          <w:b w:val="0"/>
          <w:i w:val="0"/>
        </w:rPr>
        <w:t>Nhằm triển khai các kết quả của Đại hội Toàn thể các nước Thành viên INTELSAT lần thứ 25, trên tinh thần phát huy nội lực, tăng cường và hoàn thiện hệ thống quản lý nhà nước về viễn thông và tần số vô tuyến điện, tích cực và chủ động hội nhập quốc tế, Tổng cục trưởng Tổng cục Bưu điện chỉ thị các đơn vị khẩn trương triển khai các nội dung sau:</w:t>
      </w:r>
    </w:p>
    <w:p>
      <w:r>
        <w:rPr>
          <w:b w:val="0"/>
          <w:i w:val="0"/>
        </w:rPr>
        <w:t>1. Các đơn vị trực thuộc Tổng cục Bưu điện, Tổng công ty Bưu chính Viễn thông Việt Nam chủ động nghiên cứu triển khai các quyết định của Đại hội toàn thể các nước Thành viên INTELSAT lần thứ 25 theo chức năng, nhiệm vụ của đơn vị mình;</w:t>
      </w:r>
    </w:p>
    <w:p>
      <w:r>
        <w:rPr>
          <w:b w:val="0"/>
          <w:i w:val="0"/>
        </w:rPr>
        <w:t>2. Vụ Khoa học Công nghệ và Hợp tác Quốc tế là đầu mối triển khai các thủ tục phê duyệt và hướng dẫn Tổng công ty Bưu chính Viễn thông Việt Nam tiến hành phê duyệt sửa đổi, bổ sung các Hiệp định INTELSAT theo các quy định tại Pháp lệnh ký kết và thực hiện các Điều ước quốc tế ban hành năm 1998;</w:t>
      </w:r>
    </w:p>
    <w:p>
      <w:r>
        <w:rPr>
          <w:b w:val="0"/>
          <w:i w:val="0"/>
        </w:rPr>
        <w:t>3. Vụ Chính sách Bưu điện phối hợp với các đơn vị chức năng khẩn trương xây dựng chính sách cấp phép truy nhập cho các hệ thống vệ tinh viễn thông để tăng cường quản lý nhà nước đối với các hoạt động cung cấp và sử dụng các dịch vụ viễn thông qua vệ tinh;</w:t>
      </w:r>
    </w:p>
    <w:p>
      <w:r>
        <w:rPr>
          <w:b w:val="0"/>
          <w:i w:val="0"/>
        </w:rPr>
        <w:t>4. Cục Tần số Vô tuyến điện nghiên cứu và theo dõi các vấn đề liên quan đến việc chuyển giao quỹ đạo vệ tinh và tần số của INTELSAT cho Anh và Mỹ quản lý để đảm bảo cho việc phối hợp tần số, đăng ký quỹ đạo vệ tinh của Việt Nam với các nước khác;</w:t>
      </w:r>
    </w:p>
    <w:p>
      <w:r>
        <w:rPr>
          <w:b w:val="0"/>
          <w:i w:val="0"/>
        </w:rPr>
        <w:t>5. Tổng công ty Bưu chính Viễn thông Việt Nam chủ động nghiên cứu các văn bản pháp lý và thương mại của Intelsat khi chuyển sang tham gia với tư cách cổ đông trong Công ty Intelsat tư nhân để đảm bảo quyền lợi của Việt Nam và tuân thủ theo các quy định của Việt Nam về tài chính, đầu tư ra nước ngoài.</w:t>
      </w:r>
    </w:p>
    <w:p>
      <w:r>
        <w:rPr>
          <w:b w:val="0"/>
          <w:i w:val="0"/>
        </w:rPr>
        <w:t>6. Vụ Khoa học Công nghệ và Hợp tác Quốc tế là đầu mối theo dõi và có trách nhiệm đôn đốc các đơn vị thực hiện chỉ thị này.</w:t>
      </w:r>
    </w:p>
    <w:p>
      <w:r>
        <w:rPr>
          <w:b w:val="0"/>
          <w:i w:val="0"/>
        </w:rPr>
        <w:t>Tổng cục trưởng Tổng cục Bưu điện yêu cầu các đơn vị trong toàn Ngành tổ chức thực hiện tốt chỉ thị này và báo cáo tổng hợp lên Tổng cục Bưu điện về tiến độ và kết quả triển khai các hoạt động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 xml:space="preserve">TỔNG CỤC TRƯỞNG </w:t>
            </w:r>
            <w:r>
              <w:br/>
            </w:r>
            <w:r>
              <w:rPr>
                <w:b/>
                <w:i w:val="0"/>
              </w:rPr>
              <w:t>TỔNG CỤC BƯU ĐIỆN</w:t>
            </w:r>
            <w:r>
              <w:br/>
            </w:r>
            <w:r>
              <w:br/>
            </w:r>
            <w:r>
              <w:rPr>
                <w:b/>
                <w:i/>
              </w:rPr>
              <w:t>(Đã ký)</w:t>
            </w:r>
            <w:r>
              <w:br/>
            </w:r>
            <w:r>
              <w:br/>
            </w:r>
            <w:r>
              <w:rPr>
                <w:b/>
                <w:i w:val="0"/>
              </w:rPr>
              <w:t>Mai Liêm Trực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