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hợp nhất số 06/VBHN-BTC Hướng dẫn thi hành một số điều của Nghị định số 45/2007/NĐ-CP ngày 27 tháng 3 năm 2007 của Chính phủ quy định chỉ tiết thi hành một số điều của Luật Kinh doanh bảo hiểm và Nghị định số 123/2011/NĐ-CP ngày 28 tháng 12 năm 2011 của Chính phủ quy định chi tiết thi hành một số điều của Luật sửa đổi, bổ sung một số điều của Luật Kinh doanh bảo hỉểm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