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/HCSN hướng dẫn quản lý và sử dụng vốn vay của ngân hàng thế giới cho dự án giáo dục tiểu học đối với hạng mục : Huấn luyện, hội thảo nghiên cứu và chuyên gia tư vấn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 07 /HCSN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24 tháng 1 năm 1996</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QUẢN LÝ VÀ SỬ DỤNG VỐN VAY CỦA NGÂN HÀNG THẾ GIỚI CHO DỰ ÁN GIÁO DỤC TIỂU HỌC ĐỐI VỚI HẠNG MỤC : HUẤN LUYỆN, HỘI THẢO NGHIÊN CỨU VÀ CHUYÊN GIA TƯ VẤN</w:t>
      </w:r>
      <w:r>
        <w:rPr>
          <w:b w:val="0"/>
          <w:i w:val="0"/>
        </w:rPr>
        <w:br/>
      </w:r>
      <w:r>
        <w:rPr>
          <w:b w:val="0"/>
          <w:i/>
        </w:rPr>
        <w:t>- Căn cứ vào Hiệp định tín dụng phát triển đã được ký kết giữa Chính phủ Việt nam với Hiệp hội phát triển quốc tế ngày 01/11/1993.</w:t>
      </w:r>
      <w:r>
        <w:rPr>
          <w:b w:val="0"/>
          <w:i w:val="0"/>
        </w:rPr>
        <w:br/>
      </w:r>
      <w:r>
        <w:rPr>
          <w:b w:val="0"/>
          <w:i/>
        </w:rPr>
        <w:t>- Căn cứ Nghị định số 58/CP ngày 30/8/1994 của Chính phủ ban hành quy chế quản lý vay và trả nợ nước ngoài; Nghị định số 20/CP ngày 15/3/1994 của Chính phủ ban hành quy chế quản lý và sử dụng nguồn hỗ trợ phát triển chính thức.</w:t>
      </w:r>
      <w:r>
        <w:rPr>
          <w:b w:val="0"/>
          <w:i w:val="0"/>
        </w:rPr>
        <w:br/>
      </w:r>
      <w:r>
        <w:rPr>
          <w:b w:val="0"/>
          <w:i/>
        </w:rPr>
        <w:t>- Căn cứ Thông tư Liên Bộ số 09/TC-NH ngày 2/6/1994 của Ngân hàng Nhà nước và Bộ Tài chính về việc quản lý và sử dụng vốn vay của các tổ chức tín dụng quốc tế. Thông tư số 18 TC/TCĐN ngày 5/3/1994 của Bộ Tài chính, hướng dẫn việc quản lý vốn vay nước ngoài của Chính phủ.</w:t>
      </w:r>
      <w:r>
        <w:rPr>
          <w:b w:val="0"/>
          <w:i w:val="0"/>
        </w:rPr>
        <w:br/>
      </w:r>
      <w:r>
        <w:rPr>
          <w:b w:val="0"/>
          <w:i/>
        </w:rPr>
        <w:t>- Căn cứ vào thông tư số 67/TC-ĐTPT ngày 12/9/1995 của Bộ Tài chính hướng dẫn việc quản lý, sử dụng nguồn vốn đầu tư của dự án giáo dục tiểu học.</w:t>
      </w:r>
      <w:r>
        <w:rPr>
          <w:b w:val="0"/>
          <w:i w:val="0"/>
        </w:rPr>
        <w:br/>
      </w:r>
      <w:r>
        <w:rPr>
          <w:b w:val="0"/>
          <w:i/>
        </w:rPr>
        <w:t>Bộ Tài chính hướng dẫn quản lý và sử dụng phần vốn vay và vốn đối ứng thuộc nguồn vốn sự nghiệp chi cho công tác huấn huyện, hội thảo và chuyên gia tư vấn như sau:</w:t>
      </w:r>
      <w:r>
        <w:rPr>
          <w:b w:val="0"/>
          <w:i w:val="0"/>
        </w:rPr>
        <w:br/>
      </w:r>
      <w:r>
        <w:rPr>
          <w:b/>
          <w:i w:val="0"/>
        </w:rPr>
        <w:t>i-      NGUYÊN TẮC CHUNG</w:t>
      </w:r>
      <w:r>
        <w:rPr>
          <w:b w:val="0"/>
          <w:i w:val="0"/>
        </w:rPr>
        <w:br/>
      </w:r>
      <w:r>
        <w:rPr>
          <w:b w:val="0"/>
          <w:i w:val="0"/>
        </w:rPr>
        <w:t>1/ Nguồn vốn Chính phủ vay của Ngân hàng Thế giới (dưới đây gọi là vốn vay IDA - Internationnal Development Association) để đầu tư cho Dự án giáo dục tiểu học phải được cân đối vào Ngân sách Nhà nước. Căn cứ vào Hiệp định vay đã được ký kết, Bộ Tài chính có trách nhiệm bố trí vốn NSNN theo kế hoạch được duyệt để trả nợ nước ngoài khi đến hạn (Bao gồm cả gốc và lãi).</w:t>
      </w:r>
      <w:r>
        <w:rPr>
          <w:b w:val="0"/>
          <w:i w:val="0"/>
        </w:rPr>
        <w:br/>
      </w:r>
      <w:r>
        <w:rPr>
          <w:b w:val="0"/>
          <w:i w:val="0"/>
        </w:rPr>
        <w:t>2/ Bộ Giáo dục và Đào tạo mà trực tiếp là Ban điều hành dự án quốc gia (dưới đây gọi là chủ dự án) được sử dụng nguồn vốn vay này phải chấp hành nghiêm chỉnh các điều khoản đã cam kết trong Hiệp định vay và quy chế quản lý vay và trả nợ nước ngoài được quy định tại Nghị định số 58/CP ngày 30/8/1994 của Chính phủ.</w:t>
      </w:r>
      <w:r>
        <w:rPr>
          <w:b w:val="0"/>
          <w:i w:val="0"/>
        </w:rPr>
        <w:br/>
      </w:r>
      <w:r>
        <w:rPr>
          <w:b w:val="0"/>
          <w:i w:val="0"/>
        </w:rPr>
        <w:t>3/ Chủ dự án có trách nhiệm lập, trình duyệt kế hoạch chi tiêu hàng năm theo tiến độ thực hiện phù hợp với những nội dung đã cam kết trong hiệp định vay, đồng thời thực hiện theo đúng các quy định hiện hành về việc quản lý và sử dụng vốn vay nước ngoài của Chính phủ và theo những quy đinh tại thông tư này.</w:t>
      </w:r>
      <w:r>
        <w:rPr>
          <w:b w:val="0"/>
          <w:i w:val="0"/>
        </w:rPr>
        <w:br/>
      </w:r>
      <w:r>
        <w:rPr>
          <w:b w:val="0"/>
          <w:i w:val="0"/>
        </w:rPr>
        <w:t>4/ Chủ dự án có trách nhiệm báo cáo, lập quyết toán vốn vay của IDA theo đúng quy định hiện hành.</w:t>
      </w:r>
      <w:r>
        <w:rPr>
          <w:b w:val="0"/>
          <w:i w:val="0"/>
        </w:rPr>
        <w:br/>
      </w:r>
      <w:r>
        <w:rPr>
          <w:b/>
          <w:i w:val="0"/>
        </w:rPr>
        <w:t>II- NHỮNG QUY ĐỊNH CỤ THỂ</w:t>
      </w:r>
      <w:r>
        <w:rPr>
          <w:b w:val="0"/>
          <w:i w:val="0"/>
        </w:rPr>
        <w:br/>
      </w:r>
      <w:r>
        <w:rPr>
          <w:b w:val="0"/>
          <w:i w:val="0"/>
        </w:rPr>
        <w:t>1/ Hàng năm, căn cứ vào các nội dung chi tiêu và tiến độ thực hiện dự án (Theo Hiệp định đã ký) được Bộ kế hoạch và đầu tư duyệt, Chủ dự án lập kế hoạch chi tiết cho từng hạng mục sau đây:</w:t>
      </w:r>
      <w:r>
        <w:rPr>
          <w:b w:val="0"/>
          <w:i w:val="0"/>
        </w:rPr>
        <w:br/>
      </w:r>
      <w:r>
        <w:rPr>
          <w:b w:val="0"/>
          <w:i w:val="0"/>
        </w:rPr>
        <w:t>* Kế hoạch huấn luyện: bao gồm:</w:t>
      </w:r>
      <w:r>
        <w:rPr>
          <w:b w:val="0"/>
          <w:i w:val="0"/>
        </w:rPr>
        <w:br/>
      </w:r>
      <w:r>
        <w:rPr>
          <w:b w:val="0"/>
          <w:i w:val="0"/>
        </w:rPr>
        <w:t>- Huấn luyện trong nước</w:t>
      </w:r>
      <w:r>
        <w:rPr>
          <w:b w:val="0"/>
          <w:i w:val="0"/>
        </w:rPr>
        <w:br/>
      </w:r>
      <w:r>
        <w:rPr>
          <w:b w:val="0"/>
          <w:i w:val="0"/>
        </w:rPr>
        <w:t>- Huấn luyện ngoài nước</w:t>
      </w:r>
      <w:r>
        <w:rPr>
          <w:b w:val="0"/>
          <w:i w:val="0"/>
        </w:rPr>
        <w:br/>
      </w:r>
      <w:r>
        <w:rPr>
          <w:b w:val="0"/>
          <w:i w:val="0"/>
        </w:rPr>
        <w:t>* Kế hoạch chi cho chuyên gia:</w:t>
      </w:r>
      <w:r>
        <w:rPr>
          <w:b w:val="0"/>
          <w:i w:val="0"/>
        </w:rPr>
        <w:br/>
      </w:r>
      <w:r>
        <w:rPr>
          <w:b w:val="0"/>
          <w:i w:val="0"/>
        </w:rPr>
        <w:t>- Chi cho chuyên gia nước ngoài.</w:t>
      </w:r>
      <w:r>
        <w:rPr>
          <w:b w:val="0"/>
          <w:i w:val="0"/>
        </w:rPr>
        <w:br/>
      </w:r>
      <w:r>
        <w:rPr>
          <w:b w:val="0"/>
          <w:i w:val="0"/>
        </w:rPr>
        <w:t>- Chi cho chuyên gia trong nước.</w:t>
      </w:r>
      <w:r>
        <w:rPr>
          <w:b w:val="0"/>
          <w:i w:val="0"/>
        </w:rPr>
        <w:br/>
      </w:r>
      <w:r>
        <w:rPr>
          <w:b w:val="0"/>
          <w:i w:val="0"/>
        </w:rPr>
        <w:t>* Kế hoạch chi cho công tác hội thảo, nghiên cứu.</w:t>
      </w:r>
      <w:r>
        <w:rPr>
          <w:b w:val="0"/>
          <w:i w:val="0"/>
        </w:rPr>
        <w:br/>
      </w:r>
      <w:r>
        <w:rPr>
          <w:b w:val="0"/>
          <w:i w:val="0"/>
        </w:rPr>
        <w:t>- Nội dung, số người tham gia, thời gian hội thảo ...</w:t>
      </w:r>
      <w:r>
        <w:rPr>
          <w:b w:val="0"/>
          <w:i w:val="0"/>
        </w:rPr>
        <w:br/>
      </w:r>
      <w:r>
        <w:rPr>
          <w:b w:val="0"/>
          <w:i w:val="0"/>
        </w:rPr>
        <w:t>- Đề tài nghiên cứu đã được thoả thuận với ngân hàng thế giới có hợp đồng kèm theo (đề tài xây dựng bản đồ trường học; xây dựng và triển khai chương trình môn học bậc tiểu học; nghiên cứu chế độ lương giáo viên tiểu học ...)</w:t>
      </w:r>
      <w:r>
        <w:rPr>
          <w:b w:val="0"/>
          <w:i w:val="0"/>
        </w:rPr>
        <w:br/>
      </w:r>
      <w:r>
        <w:rPr>
          <w:b w:val="0"/>
          <w:i w:val="0"/>
        </w:rPr>
        <w:t>* Kế hoạch chi quản lý dự án (chi phí quản lý dự án và 15% chi phí mua thiết bị và đồ dùng dạy học).</w:t>
      </w:r>
      <w:r>
        <w:rPr>
          <w:b w:val="0"/>
          <w:i w:val="0"/>
        </w:rPr>
        <w:br/>
      </w:r>
      <w:r>
        <w:rPr>
          <w:b w:val="0"/>
          <w:i w:val="0"/>
        </w:rPr>
        <w:t>* Kế hoạch rút vốn từ tài khoản vay và sử dụng vốn từ tài khoản đặc biệt có chia ra tháng, quý: Kế hoạch này có ghi cụ thể:</w:t>
      </w:r>
      <w:r>
        <w:rPr>
          <w:b w:val="0"/>
          <w:i w:val="0"/>
        </w:rPr>
        <w:br/>
      </w:r>
      <w:r>
        <w:rPr>
          <w:b w:val="0"/>
          <w:i w:val="0"/>
        </w:rPr>
        <w:t>- Số vốn thanh toán trực tiếp.</w:t>
      </w:r>
      <w:r>
        <w:rPr>
          <w:b w:val="0"/>
          <w:i w:val="0"/>
        </w:rPr>
        <w:br/>
      </w:r>
      <w:r>
        <w:rPr>
          <w:b w:val="0"/>
          <w:i w:val="0"/>
        </w:rPr>
        <w:t>- Số vốn rút về tài khoản đặc biệt để:</w:t>
      </w:r>
      <w:r>
        <w:rPr>
          <w:b w:val="0"/>
          <w:i w:val="0"/>
        </w:rPr>
        <w:br/>
      </w:r>
      <w:r>
        <w:rPr>
          <w:b w:val="0"/>
          <w:i w:val="0"/>
        </w:rPr>
        <w:t>+ Rút tiền thanh toán bằng nội tệ.</w:t>
      </w:r>
      <w:r>
        <w:rPr>
          <w:b w:val="0"/>
          <w:i w:val="0"/>
        </w:rPr>
        <w:br/>
      </w:r>
      <w:r>
        <w:rPr>
          <w:b w:val="0"/>
          <w:i w:val="0"/>
        </w:rPr>
        <w:t>+ Rút tiền thanh toán bằng ngoại tệ.</w:t>
      </w:r>
      <w:r>
        <w:rPr>
          <w:b w:val="0"/>
          <w:i w:val="0"/>
        </w:rPr>
        <w:br/>
      </w:r>
      <w:r>
        <w:rPr>
          <w:b w:val="0"/>
          <w:i w:val="0"/>
        </w:rPr>
        <w:t>Kế hoạch này phải gửi về Bộ Tài chính (Vụ Hành chính sự nghiệp) xét duyệt trước khi tiến hành các thủ tục đấu thầu để lựa chọn chuyên gia tư vấn, mở thư tín dụng, gửi cam kết đặc biệt ...</w:t>
      </w:r>
      <w:r>
        <w:rPr>
          <w:b w:val="0"/>
          <w:i w:val="0"/>
        </w:rPr>
        <w:br/>
      </w:r>
      <w:r>
        <w:rPr>
          <w:b w:val="0"/>
          <w:i w:val="0"/>
        </w:rPr>
        <w:t>2/ Hình thức rút vốn và phương thức thanh toán:</w:t>
      </w:r>
      <w:r>
        <w:rPr>
          <w:b w:val="0"/>
          <w:i w:val="0"/>
        </w:rPr>
        <w:br/>
      </w:r>
      <w:r>
        <w:rPr>
          <w:b w:val="0"/>
          <w:i w:val="0"/>
        </w:rPr>
        <w:t>Mọi thủ tục, hình thức rút vốn và thanh toán từ tài khoản vay được thực hiện theo Thông tư số 18 TC/TCĐN ngày 5/3/1994 của Bộ Tài chính, Thông tư số 09/TC-NH ngày 2/6/1994 Liên Bộ Tài chính - Ngân hàng và tuân thủ nguyên tắc giải ngân của Ngân hàng Thế giới.</w:t>
      </w:r>
      <w:r>
        <w:rPr>
          <w:b w:val="0"/>
          <w:i w:val="0"/>
        </w:rPr>
        <w:br/>
      </w:r>
      <w:r>
        <w:rPr>
          <w:b w:val="0"/>
          <w:i w:val="0"/>
        </w:rPr>
        <w:t>2.1- Rút vốn thanh toán từ tài khoản đặc biệt:</w:t>
      </w:r>
      <w:r>
        <w:rPr>
          <w:b w:val="0"/>
          <w:i w:val="0"/>
        </w:rPr>
        <w:br/>
      </w:r>
      <w:r>
        <w:rPr>
          <w:b w:val="0"/>
          <w:i w:val="0"/>
        </w:rPr>
        <w:t>- Căn cứ vào kế hoạch chi tiêu hàng năm có chia ra quý, tháng đã được duyệt, Chủ dự án gửi công văn kèm theo đề nghị của Bộ Giáo dục và Đào tạo, gửi Bộ Tài chính (Vụ Hành chính sự nghiệp). Bộ Tài chính xem xét và uỷ nhiệm cho Ngân hàng Nông nghiệp Việt nam giải ngân theo lệnh chi của chủ dự án với tỷ giá bán ra do Ngân hàng Nhà nước công bố trong ngày giải ngân, đồng thời Ngân hàng nông nghiệp phải báo cáo ngay với Bộ Tài chính để làm thủ tục ghi thu, ghi chi Ngân sách Nhà nước.</w:t>
      </w:r>
      <w:r>
        <w:rPr>
          <w:b w:val="0"/>
          <w:i w:val="0"/>
        </w:rPr>
        <w:br/>
      </w:r>
      <w:r>
        <w:rPr>
          <w:b w:val="0"/>
          <w:i w:val="0"/>
        </w:rPr>
        <w:t>a. Chi cho huấn luyện trong và ngoài nước:</w:t>
      </w:r>
      <w:r>
        <w:rPr>
          <w:b w:val="0"/>
          <w:i w:val="0"/>
        </w:rPr>
        <w:br/>
      </w:r>
      <w:r>
        <w:rPr>
          <w:b w:val="0"/>
          <w:i w:val="0"/>
        </w:rPr>
        <w:t>+ Đào tạo, huấn luyện trong nước:</w:t>
      </w:r>
      <w:r>
        <w:rPr>
          <w:b w:val="0"/>
          <w:i w:val="0"/>
        </w:rPr>
        <w:br/>
      </w:r>
      <w:r>
        <w:rPr>
          <w:b w:val="0"/>
          <w:i w:val="0"/>
        </w:rPr>
        <w:t>Chủ dự án cần lập báo cáo chi tiết về nội dung huấn luyện, số người tham gia, thời gian và địa điểm huấn luyện phù hợp giữa yêu cầu triển khai dự án với các điều khoản đã được quy định trong Hiệp định vay. Mức chi bình quân tối đa không quá 200 USD người / tuần (Bao gồm chi tài liệu, ăn, ở, phương tiện đi lại, báo cáo viên .v. v...)</w:t>
      </w:r>
      <w:r>
        <w:rPr>
          <w:b w:val="0"/>
          <w:i w:val="0"/>
        </w:rPr>
        <w:br/>
      </w:r>
      <w:r>
        <w:rPr>
          <w:b w:val="0"/>
          <w:i w:val="0"/>
        </w:rPr>
        <w:t>+ Đào tạo, huấn luyện ngoài nước:</w:t>
      </w:r>
      <w:r>
        <w:rPr>
          <w:b w:val="0"/>
          <w:i w:val="0"/>
        </w:rPr>
        <w:br/>
      </w:r>
      <w:r>
        <w:rPr>
          <w:b w:val="0"/>
          <w:i w:val="0"/>
        </w:rPr>
        <w:t>Ngoài những điểm quy định trên, chủ dự án phải lập danh sách người tham gia đào tạo, huấn luyện ngoài nước, Hợp đồng cung ứng dịch vụ đào tạo đã được ký kết và Ngân hàng thế giới có thư "Không phản đối" (Letter of no objection). Trong hợp đồng cần nêu rõ nội dung đào tạo, số người, số ngày, địa điểm ... và chi phí dịch vụ đào tạo huấn huyện phải trả cho nơi đào tạo.</w:t>
      </w:r>
      <w:r>
        <w:rPr>
          <w:b w:val="0"/>
          <w:i w:val="0"/>
        </w:rPr>
        <w:br/>
      </w:r>
      <w:r>
        <w:rPr>
          <w:b w:val="0"/>
          <w:i w:val="0"/>
        </w:rPr>
        <w:t>Mức chi cho cán bộ tham gia đào tạo, huấn luyện ngoài nước được áp dụng theo Thông tư số 32 TC/TCĐN ngày 21/4/1995 của Bộ Tài chính.</w:t>
      </w:r>
      <w:r>
        <w:rPr>
          <w:b w:val="0"/>
          <w:i w:val="0"/>
        </w:rPr>
        <w:br/>
      </w:r>
      <w:r>
        <w:rPr>
          <w:b w:val="0"/>
          <w:i w:val="0"/>
        </w:rPr>
        <w:t>b. Chi cho chuyên gia tư vấn:</w:t>
      </w:r>
      <w:r>
        <w:rPr>
          <w:b w:val="0"/>
          <w:i w:val="0"/>
        </w:rPr>
        <w:br/>
      </w:r>
      <w:r>
        <w:rPr>
          <w:b w:val="0"/>
          <w:i w:val="0"/>
        </w:rPr>
        <w:t>+ Chuyên gia tư vấn nước ngoài:</w:t>
      </w:r>
      <w:r>
        <w:rPr>
          <w:b w:val="0"/>
          <w:i w:val="0"/>
        </w:rPr>
        <w:br/>
      </w:r>
      <w:r>
        <w:rPr>
          <w:b w:val="0"/>
          <w:i w:val="0"/>
        </w:rPr>
        <w:t>Căn cứ vào nội dung của dự án và chức năng nhiệm vụ của chuyên gia tư vấn, Chủ dự án cần lập hồ sơ các chuyên gia tư vấn (dài hạn và ngắn hạn) để tổ chức tuyển chọn. Hồ sơ các chuyên gia được chọn phải đệ trình Hội đồng xét thầu quốc gia, Ngân hàng thế giới xét duyệt về chuyên môn nghiệp vụ, kinh nghiệm công tác, thời hạn công tác, mức lương ... và đồng ý bằng văn bản chính thức.</w:t>
      </w:r>
      <w:r>
        <w:rPr>
          <w:b w:val="0"/>
          <w:i w:val="0"/>
        </w:rPr>
        <w:br/>
      </w:r>
      <w:r>
        <w:rPr>
          <w:b w:val="0"/>
          <w:i w:val="0"/>
        </w:rPr>
        <w:t>+ Chuyên gia tư vấn trong nước:</w:t>
      </w:r>
      <w:r>
        <w:rPr>
          <w:b w:val="0"/>
          <w:i w:val="0"/>
        </w:rPr>
        <w:br/>
      </w:r>
      <w:r>
        <w:rPr>
          <w:b w:val="0"/>
          <w:i w:val="0"/>
        </w:rPr>
        <w:t>Các chuyên gia tư vấn trong nước cần phải được tuyển chọn chặt chẽ căn cứ vào các yêu cầu cụ thể của dự án và chuyên môn nghiệp vụ của chuyên gia. Hồ sơ các chuyên gia tư vấn phải thông qua Hội đồng xét duyệt của Bộ Giáo dục và đào tạo và phải được Lãnh đạo Bộ phê duyệt chính thức bằng văn bản. Mức lương của chuyên gia tư vấn trong nước được hưởng tối đa không quá 500 USD/tháng.</w:t>
      </w:r>
      <w:r>
        <w:rPr>
          <w:b w:val="0"/>
          <w:i w:val="0"/>
        </w:rPr>
        <w:br/>
      </w:r>
      <w:r>
        <w:rPr>
          <w:b w:val="0"/>
          <w:i w:val="0"/>
        </w:rPr>
        <w:t>2.2. Thủ tục thanh toán tài khoản đặc biệt:</w:t>
      </w:r>
      <w:r>
        <w:rPr>
          <w:b w:val="0"/>
          <w:i w:val="0"/>
        </w:rPr>
        <w:br/>
      </w:r>
      <w:r>
        <w:rPr>
          <w:b w:val="0"/>
          <w:i w:val="0"/>
        </w:rPr>
        <w:t>Chủ dự án có trách nhiệm làm thủ tục thanh toán hoàn vốn kèm theo các chứng từ sau đây:</w:t>
      </w:r>
      <w:r>
        <w:rPr>
          <w:b w:val="0"/>
          <w:i w:val="0"/>
        </w:rPr>
        <w:br/>
      </w:r>
      <w:r>
        <w:rPr>
          <w:b w:val="0"/>
          <w:i w:val="0"/>
        </w:rPr>
        <w:t>a. Hợp đồng dịch vụ đào tạo</w:t>
      </w:r>
      <w:r>
        <w:rPr>
          <w:b w:val="0"/>
          <w:i w:val="0"/>
        </w:rPr>
        <w:br/>
      </w:r>
      <w:r>
        <w:rPr>
          <w:b w:val="0"/>
          <w:i w:val="0"/>
        </w:rPr>
        <w:t>b. Hợp đồng dịch vụ tư vấn</w:t>
      </w:r>
      <w:r>
        <w:rPr>
          <w:b w:val="0"/>
          <w:i w:val="0"/>
        </w:rPr>
        <w:br/>
      </w:r>
      <w:r>
        <w:rPr>
          <w:b w:val="0"/>
          <w:i w:val="0"/>
        </w:rPr>
        <w:t>c. Các chứng từ hoá đơn kèm theo</w:t>
      </w:r>
      <w:r>
        <w:rPr>
          <w:b w:val="0"/>
          <w:i w:val="0"/>
        </w:rPr>
        <w:br/>
      </w:r>
      <w:r>
        <w:rPr>
          <w:b w:val="0"/>
          <w:i w:val="0"/>
        </w:rPr>
        <w:t>+ Phiếu chứng nhận thanh toán cho Nhà thầu hoặc thanh toán cho người cung cấp hàng hoá, thiết bị, dịch vụ (Hợp đồng dịch vụ tư vấn, Hoá đơn bán hàng, hoá đơn tư vấn) Đồng thời Chủ dự án làm thủ tục xin rút vốn bổ sung vào Tài khoản Đặc biệt. Khi nhận được báo "Có" của Ngân hàng thế giới, Chủ dự án và Ngân hàng Nông nghiệp phải báo cáo ngay với Bộ Tài chính.</w:t>
      </w:r>
      <w:r>
        <w:rPr>
          <w:b w:val="0"/>
          <w:i w:val="0"/>
        </w:rPr>
        <w:br/>
      </w:r>
      <w:r>
        <w:rPr>
          <w:b w:val="0"/>
          <w:i w:val="0"/>
        </w:rPr>
        <w:t>2.3- Thủ tục rút vốn, thanh toán theo các hình thức thanh toán trực tiếp, thủ tục cam kết ... cho người cung cấp hàng hoá được thực hiện theo Thông tư số 18 TC/TCĐN ngày 5/3/1994 và Thông tư số 67 /TC-ĐTPT ngày 12/9/1995 của Bộ Tài chính quy định.</w:t>
      </w:r>
      <w:r>
        <w:rPr>
          <w:b w:val="0"/>
          <w:i w:val="0"/>
        </w:rPr>
        <w:br/>
      </w:r>
      <w:r>
        <w:rPr>
          <w:b w:val="0"/>
          <w:i w:val="0"/>
        </w:rPr>
        <w:t>Khi nhận được thông báo giải ngân của Ngân hàng thế giới, Chủ dự án kiểm tra, xác nhận và báo cáo ngay cho Bộ Tài chính để làm thủ tục ghi thu NSNN và ghi chi cho Dự án.</w:t>
      </w:r>
      <w:r>
        <w:rPr>
          <w:b w:val="0"/>
          <w:i w:val="0"/>
        </w:rPr>
        <w:br/>
      </w:r>
      <w:r>
        <w:rPr>
          <w:b w:val="0"/>
          <w:i w:val="0"/>
        </w:rPr>
        <w:t>3/ Hàng năm chủ dự án có trách nhiệm lập dự toán chi vốn đối ứng: chi phí quản lý dự án và 15% chi phí mua thiết bị và đồ dùng dạy học phục vụ công tác quản lý của các Sở giáo dục - đào tạo, các trường sư phạm và các trường tiểu học (trong trường hợp mua hàng trong nước) có chia theo tháng, quý gửi Bộ Tài chính làm căn cứ lập kế hoạch và cấp phát thực hiện.</w:t>
      </w:r>
      <w:r>
        <w:rPr>
          <w:b w:val="0"/>
          <w:i w:val="0"/>
        </w:rPr>
        <w:br/>
      </w:r>
      <w:r>
        <w:rPr>
          <w:b w:val="0"/>
          <w:i w:val="0"/>
        </w:rPr>
        <w:t>Căn cứ vào dự toán của chủ dự án và kế hoạch vốn đối ứng hàng năm, Bộ Tài chính có trách nhiệm duyệt và cấp phát chi phí quản lý dự án.</w:t>
      </w:r>
      <w:r>
        <w:rPr>
          <w:b w:val="0"/>
          <w:i w:val="0"/>
        </w:rPr>
        <w:br/>
      </w:r>
      <w:r>
        <w:rPr>
          <w:b w:val="0"/>
          <w:i w:val="0"/>
        </w:rPr>
        <w:t>4/ Hàng quý, năm chủ dự án có trách nhiệm báo cáo, quyết toán toàn bộ các khoản mục chi tiêu với Bộ Tài chính và cơ quan chủ quản dự án.</w:t>
      </w:r>
      <w:r>
        <w:rPr>
          <w:b w:val="0"/>
          <w:i w:val="0"/>
        </w:rPr>
        <w:br/>
      </w:r>
      <w:r>
        <w:rPr>
          <w:b w:val="0"/>
          <w:i w:val="0"/>
        </w:rPr>
        <w:t>5/ Công ty kiểm toán độc lập được chọn có trách nhiệm kiểm tra, kiểm toán các sổ sách kế toán, chế độ chi tiêu, chứng từ, hoá đơn, hợp đồng dịch vụ ... của chủ dự án theo chế độ Nhà nước quy định và quy định của Ngân hàng thế giới phù hợp với thông lệ và tiêu chuẩn quốc tế đồng thời báo cáo cho Bộ Tài chính biết.</w:t>
      </w:r>
      <w:r>
        <w:rPr>
          <w:b w:val="0"/>
          <w:i w:val="0"/>
        </w:rPr>
        <w:br/>
      </w:r>
      <w:r>
        <w:rPr>
          <w:b w:val="0"/>
          <w:i w:val="0"/>
        </w:rPr>
        <w:t>6/ Bộ Tài chính kiểm tra định kỳ, đột xuất tình hình hình quản lý, sử dụng vốn vay của chủ dự án và Ngân hàng Nông nghiệp, trường hợp phát hiện sử dụng vốn vay không đúng với quy định hiện hành có thể đình chỉ và thu hồi vốn đã chuyển cho chủ dự án.</w:t>
      </w:r>
      <w:r>
        <w:rPr>
          <w:b w:val="0"/>
          <w:i w:val="0"/>
        </w:rPr>
        <w:br/>
      </w:r>
      <w:r>
        <w:rPr>
          <w:b/>
          <w:i w:val="0"/>
        </w:rPr>
        <w:t>ii-     ĐIỀU KHOẢN THI HÀNH</w:t>
      </w:r>
      <w:r>
        <w:rPr>
          <w:b w:val="0"/>
          <w:i w:val="0"/>
        </w:rPr>
        <w:br/>
      </w:r>
      <w:r>
        <w:rPr>
          <w:b w:val="0"/>
          <w:i w:val="0"/>
        </w:rPr>
        <w:t>Thông tư này có hiệu lực từ ngày ký, trong quá trình thực hiện, nếu có khó khăn vướng mắc đề nghị phản ánh về Bộ Tài chính để bổ sung, sửa đổi kịp thời./.</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Bộ Giáo dục và đào tạo</w:t>
      </w:r>
      <w:r>
        <w:rPr>
          <w:b w:val="0"/>
          <w:i w:val="0"/>
        </w:rPr>
        <w:br/>
      </w:r>
      <w:r>
        <w:rPr>
          <w:b w:val="0"/>
          <w:i w:val="0"/>
        </w:rPr>
        <w:t>- Bộ kế hoạch và ĐT</w:t>
      </w:r>
      <w:r>
        <w:rPr>
          <w:b w:val="0"/>
          <w:i w:val="0"/>
        </w:rPr>
        <w:br/>
      </w:r>
      <w:r>
        <w:rPr>
          <w:b w:val="0"/>
          <w:i w:val="0"/>
        </w:rPr>
        <w:t>- Ngân hàng Nhà nước VN</w:t>
      </w:r>
      <w:r>
        <w:rPr>
          <w:b w:val="0"/>
          <w:i w:val="0"/>
        </w:rPr>
        <w:br/>
      </w:r>
      <w:r>
        <w:rPr>
          <w:b w:val="0"/>
          <w:i w:val="0"/>
        </w:rPr>
        <w:t>- Ngân hàng ngoại thương VN</w:t>
      </w:r>
      <w:r>
        <w:rPr>
          <w:b w:val="0"/>
          <w:i w:val="0"/>
        </w:rPr>
        <w:br/>
      </w:r>
      <w:r>
        <w:rPr>
          <w:b w:val="0"/>
          <w:i w:val="0"/>
        </w:rPr>
        <w:t>- Lưu VP, TCĐN, HCSN, NSNN</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Tào Hữu Phùng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 07 /HCSN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Bộ Giáo dục và đào tạo</w:t>
            </w:r>
            <w:r>
              <w:rPr>
                <w:b w:val="0"/>
                <w:i w:val="0"/>
              </w:rPr>
              <w:br/>
            </w:r>
            <w:r>
              <w:rPr>
                <w:b w:val="0"/>
                <w:i w:val="0"/>
              </w:rPr>
              <w:t>- Bộ kế hoạch và ĐT</w:t>
            </w:r>
            <w:r>
              <w:rPr>
                <w:b w:val="0"/>
                <w:i w:val="0"/>
              </w:rPr>
              <w:br/>
            </w:r>
            <w:r>
              <w:rPr>
                <w:b w:val="0"/>
                <w:i w:val="0"/>
              </w:rPr>
              <w:t>- Ngân hàng Nhà nước VN</w:t>
            </w:r>
            <w:r>
              <w:rPr>
                <w:b w:val="0"/>
                <w:i w:val="0"/>
              </w:rPr>
              <w:br/>
            </w:r>
            <w:r>
              <w:rPr>
                <w:b w:val="0"/>
                <w:i w:val="0"/>
              </w:rPr>
              <w:t>- Ngân hàng ngoại thương VN</w:t>
            </w:r>
            <w:r>
              <w:rPr>
                <w:b w:val="0"/>
                <w:i w:val="0"/>
              </w:rPr>
              <w:br/>
            </w:r>
            <w:r>
              <w:rPr>
                <w:b w:val="0"/>
                <w:i w:val="0"/>
              </w:rPr>
              <w:t>- Lưu VP, TCĐN, HCSN, NSNN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Tào Hữu Phùng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