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0794/QĐ-BCT Phê duyệt “Điều chỉnh quy hoạch hệ thống cửa hàng xăng dầu dọc tuyến đường Hồ Chí Minh giai đoạn I đến năm 2015, định hướng đến năm 2025”</w:t>
      </w:r>
    </w:p>
    <w:p>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0794/QĐ-BCT</w:t>
        <w:br/>
        <w:t xml:space="preserve">    </w:t>
      </w:r>
      <w:r>
        <w:rPr>
          <w:b w:val="0"/>
          <w:i w:val="0"/>
        </w:rPr>
        <w:br/>
      </w:r>
      <w:r>
        <w:rPr>
          <w:b w:val="0"/>
          <w:i/>
        </w:rPr>
        <w:br/>
      </w:r>
      <w:r>
        <w:rPr>
          <w:b w:val="0"/>
          <w:i/>
        </w:rPr>
        <w:t>Hà Nội, ngày 05 tháng 02 năm 2010</w:t>
      </w:r>
      <w:r>
        <w:rPr>
          <w:b w:val="0"/>
          <w:i/>
        </w:rPr>
        <w:br/>
      </w:r>
      <w:r>
        <w:rPr>
          <w:b w:val="0"/>
          <w:i w:val="0"/>
        </w:rPr>
        <w:br/>
      </w:r>
      <w:r>
        <w:rPr>
          <w:b w:val="0"/>
          <w:i w:val="0"/>
        </w:rPr>
        <w:br/>
      </w:r>
    </w:p>
    <w:p>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THƯƠNG.</w:t>
        <w:br/>
        <w:t xml:space="preserve">     </w:t>
      </w:r>
      <w:r>
        <w:rPr>
          <w:b w:val="0"/>
          <w:i w:val="0"/>
        </w:rPr>
        <w:br/>
      </w:r>
      <w:r>
        <w:rPr>
          <w:b w:val="0"/>
          <w:i w:val="0"/>
        </w:rPr>
        <w:br/>
      </w:r>
    </w:p>
    <w:p>
      <w:r>
        <w:rPr>
          <w:b w:val="0"/>
          <w:i w:val="0"/>
        </w:rPr>
        <w:br/>
        <w:t xml:space="preserve">      BỘ CÔNG THƯƠNG.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0794/QĐ-BCT</w:t>
        <w:br/>
        <w:t xml:space="preserve">    </w:t>
      </w:r>
      <w:r>
        <w:rPr>
          <w:b w:val="0"/>
          <w:i w:val="0"/>
        </w:rPr>
        <w:br/>
      </w:r>
      <w:r>
        <w:rPr>
          <w:b w:val="0"/>
          <w:i/>
        </w:rPr>
        <w:br/>
      </w:r>
      <w:r>
        <w:rPr>
          <w:b w:val="0"/>
          <w:i/>
        </w:rPr>
        <w:t>Hà Nội, ngày 05 tháng 02 năm 2010</w:t>
      </w:r>
      <w:r>
        <w:rPr>
          <w:b w:val="0"/>
          <w:i/>
        </w:rPr>
        <w:br/>
      </w:r>
      <w:r>
        <w:rPr>
          <w:b w:val="0"/>
          <w:i w:val="0"/>
        </w:rPr>
        <w:br/>
      </w:r>
    </w:p>
    <w:p>
      <w:pPr>
        <w:jc w:val="center"/>
      </w:pPr>
      <w:r>
        <w:rPr>
          <w:b w:val="0"/>
          <w:i w:val="0"/>
        </w:rPr>
        <w:br/>
        <w:t xml:space="preserve">     Số: 0794/QĐ-BCT</w:t>
        <w:br/>
        <w:t xml:space="preserve">    </w:t>
      </w:r>
    </w:p>
    <w:p>
      <w:pPr>
        <w:jc w:val="center"/>
      </w:pPr>
      <w:r>
        <w:rPr>
          <w:b w:val="0"/>
          <w:i w:val="0"/>
        </w:rPr>
        <w:br/>
      </w:r>
      <w:r>
        <w:rPr>
          <w:b w:val="0"/>
          <w:i/>
        </w:rPr>
        <w:t>Hà Nội, ngày 05 tháng 02 năm 2010</w:t>
      </w:r>
      <w:r>
        <w:rPr>
          <w:b w:val="0"/>
          <w:i w:val="0"/>
        </w:rPr>
        <w:br/>
      </w:r>
    </w:p>
    <w:p>
      <w:r>
        <w:rPr>
          <w:b/>
          <w:i w:val="0"/>
        </w:rPr>
        <w:t xml:space="preserve">QUYẾT ĐỊNH </w:t>
      </w:r>
    </w:p>
    <w:p>
      <w:r>
        <w:rPr>
          <w:b/>
          <w:i w:val="0"/>
        </w:rPr>
        <w:t>Phê duyệt “Điều chỉnh quy hoạch hệ thống cửa hàng xăng dầu dọc tuyến đường Hồ Chí Minh giai đoạn I đến năm 2015, định hướng đến năm 2025”</w:t>
      </w:r>
    </w:p>
    <w:p>
      <w:r>
        <w:rPr>
          <w:b w:val="0"/>
          <w:i w:val="0"/>
        </w:rPr>
        <w:t>_________________________________</w:t>
      </w:r>
    </w:p>
    <w:p>
      <w:r>
        <w:rPr>
          <w:b/>
          <w:i w:val="0"/>
        </w:rPr>
        <w:t xml:space="preserve">BỘ TRƯỞNG BỘ CÔNG THƯƠNG </w:t>
      </w:r>
    </w:p>
    <w:p>
      <w:r>
        <w:rPr>
          <w:b w:val="0"/>
          <w:i/>
        </w:rPr>
        <w:t>Căn cứ Nghị định số 189/2007/NĐ-CP ngày 27 tháng 12 năm 2007 của Chính phủ quy định chức năng, nhiệm vụ, quyền hạn và cơ cấu tổ chức của Bộ Công Thương;</w:t>
      </w:r>
    </w:p>
    <w:p>
      <w:r>
        <w:rPr>
          <w:b w:val="0"/>
          <w:i/>
        </w:rPr>
        <w:t>Căn cứ Nghị định số 92/2006/NĐ-CP ngày 7 tháng 9 năm 2006 và Nghị định số 04/2008/NĐ-CP ngày 11 tháng 01 năm 2008 của Chính phủ về việc sửa đổi bổ sung một số điều của Nghị định số 92/2006/NĐ-CP về việc lập, phê duyệt và quản lý quy hoạch tổng thể phát triển kinh tế - xã hội;</w:t>
      </w:r>
    </w:p>
    <w:p>
      <w:r>
        <w:rPr>
          <w:b w:val="0"/>
          <w:i/>
        </w:rPr>
        <w:t>Căn cứ Quyết định số 0278/2002/QĐ-BTM ngày 19 tháng 03 năm 2002, Quyết định số 1953/2004/QĐ-BTM ngày 30 tháng 12 năm 2004 của Bộ Thương mại (nay là Bộ Công Thương), Quyết định số 45/2008/QĐ-BCT của Bộ Công Thương về việc điều chỉnh, bổ sung Quy hoạch hệ thống cửa hàng xăng dầu dọc tuyến đường Hồ Chí Minh giai đoạn I</w:t>
      </w:r>
    </w:p>
    <w:p>
      <w:r>
        <w:rPr>
          <w:b w:val="0"/>
          <w:i/>
        </w:rPr>
        <w:t>Căn cứ Quyết định số 0969/QĐ-BCT ngày 24 tháng 02 năm 2009 của Bộ Công Thương phê duyệt đề cương và dự toán của đề án “Điều chỉnh, bổ sung quy hoạch hệ thống cửa hàng xăng dầu dọc đường Hồ Chí Minh giai đoạn I đến năm 2015, định hướng đến năm 2025”;</w:t>
      </w:r>
    </w:p>
    <w:p>
      <w:r>
        <w:rPr>
          <w:b w:val="0"/>
          <w:i/>
        </w:rPr>
        <w:t>Xét tờ trình số 0065/PEC ngày 25 tháng 01 năm 2010 của Công ty Cổ phần Tư vấn xây dựng Petrolimex;</w:t>
      </w:r>
    </w:p>
    <w:p>
      <w:r>
        <w:rPr>
          <w:b w:val="0"/>
          <w:i/>
        </w:rPr>
        <w:t>Theo đề nghị của Vụ trưởng Vụ Kế hoạch,</w:t>
      </w:r>
    </w:p>
    <w:p>
      <w:r>
        <w:rPr>
          <w:b/>
          <w:i w:val="0"/>
        </w:rPr>
        <w:t>QUYẾT ĐỊNH:</w:t>
      </w:r>
    </w:p>
    <w:p>
      <w:r>
        <w:rPr>
          <w:b/>
          <w:i w:val="0"/>
        </w:rPr>
        <w:t xml:space="preserve">Điều 1. </w:t>
      </w:r>
      <w:r>
        <w:rPr>
          <w:b w:val="0"/>
          <w:i w:val="0"/>
        </w:rPr>
        <w:t>Phê duyệt “Điều chỉnh, bổ sung quy hoạch hệ thống cửa hàng xăng dầu dọc tuyến đường Hồ Chí Minh giai đoạn I đến năm 2015, định hướng đến năm 2025”, với những nội dung chủ yếu sau:</w:t>
      </w:r>
    </w:p>
    <w:p>
      <w:r>
        <w:rPr>
          <w:b/>
          <w:i w:val="0"/>
        </w:rPr>
        <w:t>1. Quan điểm phát triển</w:t>
      </w:r>
    </w:p>
    <w:p>
      <w:r>
        <w:rPr>
          <w:b w:val="0"/>
          <w:i w:val="0"/>
        </w:rPr>
        <w:t>- Đảm bảo cung cấp đầy đủ và an toàn xăng dầu cho các phương tiện giao thông trên tuyến đường Hồ Chí Minh, đồng thời đáp ứng yêu cầu phát triển kinh tế, xã hội và bảo đảm an ninh quốc phòng của các địa phương dọc tuyến đường.</w:t>
      </w:r>
    </w:p>
    <w:p>
      <w:r>
        <w:rPr>
          <w:b w:val="0"/>
          <w:i w:val="0"/>
        </w:rPr>
        <w:t>- Đảm bảo chất lượng dịch vụ thương mại, lợi ích người tiêu dùng và nâng cao hiệu quả kinh doanh. Kết hợp kinh doanh xăng dầu với các dịch vụ thương mại khác, hình thành các điểm giao thông tĩnh là một kết cấu hạ tầng của các đường quốc lộ.</w:t>
      </w:r>
    </w:p>
    <w:p>
      <w:r>
        <w:rPr>
          <w:b w:val="0"/>
          <w:i w:val="0"/>
        </w:rPr>
        <w:t>- Khuyến khích mọi thành phần kinh tế trong nước tham gia đầu tư, kinh doanh, trong đó ưu tiên các doanh nghiệp chủ đạo của Nhà nước, để bảo đảm nguồn cung cấp xăng dầu trong mọi tình huống.</w:t>
      </w:r>
    </w:p>
    <w:p>
      <w:r>
        <w:rPr>
          <w:b/>
          <w:i w:val="0"/>
        </w:rPr>
        <w:t>2. Mục tiêu phát triển</w:t>
      </w:r>
    </w:p>
    <w:p>
      <w:r>
        <w:rPr>
          <w:b w:val="0"/>
          <w:i/>
        </w:rPr>
        <w:t>Mục tiêu chung:</w:t>
      </w:r>
    </w:p>
    <w:p>
      <w:r>
        <w:rPr>
          <w:b w:val="0"/>
          <w:i w:val="0"/>
        </w:rPr>
        <w:t>Xây dựng dọc tuyến đường Hồ Chí Minh một mạng lưới cửa hàng khang trang hiện đại đáp ứng đầy đủ nhu cầu xăng dầu cho các phương tiện giao thông lưu hành trên đường và địa phương dọc tuyến đường. Hiện đại hóa và tăng cao tính tiện ích của dịch vụ tổng hợp trong kinh doanh bán lẻ xăng dầu, ngang tầm với các nước trong khu vực. Kiên quyết loại bỏ các cửa hàng quá nhỏ bé, kém mỹ quan kiến trúc và vi phạm các yêu cầu về địa điểm xây dựng.</w:t>
      </w:r>
    </w:p>
    <w:p>
      <w:r>
        <w:rPr>
          <w:b w:val="0"/>
          <w:i/>
        </w:rPr>
        <w:t>Mục tiêu cụ thể:</w:t>
      </w:r>
    </w:p>
    <w:p>
      <w:r>
        <w:rPr>
          <w:b w:val="0"/>
          <w:i w:val="0"/>
        </w:rPr>
        <w:t>- Xác định số lượng cửa hàng xăng dầu dọc tuyến đường Hồ Chí Minh giai đoạn I để đáp ứng nhiệm vụ cung cấp xăng dầu cho các phương tiện giao thông trên tuyến đường và các nhu cầu phát triển kinh tế - xã hội của các địa phương dọc tuyến đường.</w:t>
      </w:r>
    </w:p>
    <w:p>
      <w:r>
        <w:rPr>
          <w:b w:val="0"/>
          <w:i w:val="0"/>
        </w:rPr>
        <w:t>- Khắc phục các tồn tại trong phân bố cửa hàng, an toàn PCCC và vệ sinh môi trường của các cửa hàng hiện có.</w:t>
      </w:r>
    </w:p>
    <w:p>
      <w:r>
        <w:rPr>
          <w:b w:val="0"/>
          <w:i w:val="0"/>
        </w:rPr>
        <w:t>- Bảo đảm tiêu chuẩn thiết kế các cửa hàng theo những tiêu chí quy định.</w:t>
      </w:r>
    </w:p>
    <w:p>
      <w:r>
        <w:rPr>
          <w:b w:val="0"/>
          <w:i w:val="0"/>
        </w:rPr>
        <w:t>- Huy động được nhiều nguồn vốn của các thành phần kinh tế tham gia đầu tư và kinh doanh.</w:t>
      </w:r>
    </w:p>
    <w:p>
      <w:r>
        <w:rPr>
          <w:b w:val="0"/>
          <w:i w:val="0"/>
        </w:rPr>
        <w:t>- Giúp các doanh nghiệp chủ động về kế hoạch đầu tư xây dựng mới và cải tạo, nâng cấp các cửa hàng xăng dầu.</w:t>
      </w:r>
    </w:p>
    <w:p>
      <w:r>
        <w:rPr>
          <w:b w:val="0"/>
          <w:i w:val="0"/>
        </w:rPr>
        <w:t>- Tạo điều kiện thuận lợi trong công tác quản lý, giám sát thực hiện quy hoạch của các cấp, các ngành.</w:t>
      </w:r>
    </w:p>
    <w:p>
      <w:r>
        <w:rPr>
          <w:b/>
          <w:i w:val="0"/>
        </w:rPr>
        <w:t>3. Định hướng phát triển</w:t>
      </w:r>
    </w:p>
    <w:p>
      <w:r>
        <w:rPr>
          <w:b w:val="0"/>
          <w:i w:val="0"/>
        </w:rPr>
        <w:t>- Quy hoạch mạng lưới cửa hàng xăng dầu phải phù hợp với các quy hoạch có liên quan: quy hoạch đường Hồ Chí Minh, quy hoạch phát triển công nghiệp dọc tuyến đường Hồ Chí Minh, quy hoạch tổng thể kinh tế - xã hội các địa phương có tuyến đường chạy qua.</w:t>
      </w:r>
    </w:p>
    <w:p>
      <w:r>
        <w:rPr>
          <w:b w:val="0"/>
          <w:i w:val="0"/>
        </w:rPr>
        <w:t>- Xây dựng cửa hàng xăng dầu theo quy mô thống nhất, công nghệ hiện đại, bảo đảm an toàn về PCCC và vệ sinh môi trường.</w:t>
      </w:r>
    </w:p>
    <w:p>
      <w:r>
        <w:rPr>
          <w:b w:val="0"/>
          <w:i w:val="0"/>
        </w:rPr>
        <w:t>- Quy hoạch mạng lưới cửa hàng xăng dầu phải có tính khoa học, đáp ứng nhu cầu sử dụng xăng dầu một cách tốt nhất, hiệu quả nhất.</w:t>
      </w:r>
    </w:p>
    <w:p>
      <w:r>
        <w:rPr>
          <w:b/>
          <w:i w:val="0"/>
        </w:rPr>
        <w:t>4. Quy hoạch phát triển</w:t>
      </w:r>
    </w:p>
    <w:p>
      <w:r>
        <w:rPr>
          <w:b/>
          <w:i w:val="0"/>
        </w:rPr>
        <w:t>4.1. Các tiêu chí xây dựng cửa hàng</w:t>
      </w:r>
    </w:p>
    <w:p>
      <w:r>
        <w:rPr>
          <w:b/>
          <w:i w:val="0"/>
        </w:rPr>
        <w:t>1. Về diện tích, quy mô</w:t>
      </w:r>
    </w:p>
    <w:p>
      <w:r>
        <w:rPr>
          <w:b w:val="0"/>
          <w:i w:val="0"/>
        </w:rPr>
        <w:t>- Cửa hàng loại I: tối thiểu phải có 6 cột bơm (loại 1-2 vòi) kèm theo nhà nghỉ, bãi đỗ xe qua đêm và các dịch vụ thương mại khác. Diện tích đất (không kể đất lưu không đến mép đường) tối thiểu phải đạt 5600m</w:t>
      </w:r>
      <w:r>
        <w:rPr>
          <w:b w:val="0"/>
          <w:i w:val="0"/>
        </w:rPr>
        <w:t>2</w:t>
      </w:r>
      <w:r>
        <w:rPr>
          <w:b w:val="0"/>
          <w:i w:val="0"/>
        </w:rPr>
        <w:t>, có chiều rộng mặt tiền khoảng 70 m trở lên.</w:t>
      </w:r>
    </w:p>
    <w:p>
      <w:r>
        <w:rPr>
          <w:b w:val="0"/>
          <w:i w:val="0"/>
        </w:rPr>
        <w:t>- Cửa hàng loại II: tối thiểu phải có 4 cột bơm (loại 1 – 2 vòi) kèm theo các dịch vụ thương mại khác. Diện tích đất (không kể đất lưu không đến mép đường) tối thiểu phải đạt 3000m</w:t>
      </w:r>
      <w:r>
        <w:rPr>
          <w:b w:val="0"/>
          <w:i w:val="0"/>
        </w:rPr>
        <w:t>2</w:t>
      </w:r>
      <w:r>
        <w:rPr>
          <w:b w:val="0"/>
          <w:i w:val="0"/>
        </w:rPr>
        <w:t>, có chiều rộng mặt tiền khoảng 60 m trở lên.</w:t>
      </w:r>
    </w:p>
    <w:p>
      <w:r>
        <w:rPr>
          <w:b w:val="0"/>
          <w:i w:val="0"/>
        </w:rPr>
        <w:t>- Cửa hàng loại III: tối thiểu phải có 3 cột bơm (loại 1 – 2 vòi). Diện tích đất (không kể đất lưu không đến mép đường) tối thiểu phải đạt 900 m</w:t>
      </w:r>
      <w:r>
        <w:rPr>
          <w:b w:val="0"/>
          <w:i w:val="0"/>
        </w:rPr>
        <w:t>2</w:t>
      </w:r>
      <w:r>
        <w:rPr>
          <w:b w:val="0"/>
          <w:i w:val="0"/>
        </w:rPr>
        <w:t>, có chiều rộng mặt tiền khoảng 30m trở lên.</w:t>
      </w:r>
    </w:p>
    <w:p>
      <w:r>
        <w:rPr>
          <w:b w:val="0"/>
          <w:i w:val="0"/>
        </w:rPr>
        <w:t>Tại những vị trí cách xa nguồn cung cấp và khó khăn về vận tải có thể bố trí thêm sức chứa xăng dầu dự trữ phòng chống thiên tai bão lụt từ 50 đến 100m</w:t>
      </w:r>
      <w:r>
        <w:rPr>
          <w:b w:val="0"/>
          <w:i w:val="0"/>
        </w:rPr>
        <w:t>3</w:t>
      </w:r>
      <w:r>
        <w:rPr>
          <w:b w:val="0"/>
          <w:i w:val="0"/>
        </w:rPr>
        <w:t>.</w:t>
      </w:r>
    </w:p>
    <w:p>
      <w:r>
        <w:rPr>
          <w:b/>
          <w:i w:val="0"/>
        </w:rPr>
        <w:t>2. Tiêu chí về khoảng cách</w:t>
      </w:r>
    </w:p>
    <w:p>
      <w:r>
        <w:rPr>
          <w:b w:val="0"/>
          <w:i w:val="0"/>
        </w:rPr>
        <w:t>- Khoảng cách giữa 02 cửa hàng loại 1 ≥ 40km</w:t>
      </w:r>
    </w:p>
    <w:p>
      <w:r>
        <w:rPr>
          <w:b w:val="0"/>
          <w:i w:val="0"/>
        </w:rPr>
        <w:t>- Khoảng cách giữa 02 cửa hàng loại 2 ≥ 20km</w:t>
      </w:r>
    </w:p>
    <w:p>
      <w:r>
        <w:rPr>
          <w:b w:val="0"/>
          <w:i w:val="0"/>
        </w:rPr>
        <w:t>- Cửa hàng xăng dầu loại 3 với nhau và với cửa hàng loại 1, 2:</w:t>
      </w:r>
    </w:p>
    <w:p>
      <w:r>
        <w:rPr>
          <w:b w:val="0"/>
          <w:i w:val="0"/>
        </w:rPr>
        <w:t>+ Trong khu vực đô thị: ≥ 2km</w:t>
      </w:r>
    </w:p>
    <w:p>
      <w:r>
        <w:rPr>
          <w:b w:val="0"/>
          <w:i w:val="0"/>
        </w:rPr>
        <w:t>+ Ngoài khu vực đô thị: ≥ 5km</w:t>
      </w:r>
    </w:p>
    <w:p>
      <w:r>
        <w:rPr>
          <w:b/>
          <w:i w:val="0"/>
        </w:rPr>
        <w:t>3. Tiêu chí về địa điểm</w:t>
      </w:r>
    </w:p>
    <w:p>
      <w:r>
        <w:rPr>
          <w:b w:val="0"/>
          <w:i w:val="0"/>
        </w:rPr>
        <w:t>- Phù hợp với quy hoạch xây dựng của các bộ, ngành, địa phương. Thuận lợi về mặt đấu nối các công trình hạ tầng: giao thông, cấp điện, cấp nước, thông tin liên lạc để giảm thiểu chi phí đầu tư, bảo đảm hiệu quả kinh doanh.</w:t>
      </w:r>
    </w:p>
    <w:p>
      <w:r>
        <w:rPr>
          <w:b w:val="0"/>
          <w:i w:val="0"/>
        </w:rPr>
        <w:t>- Đảm bảo khoảng cách giữa các cửa hàng theo tiêu chí số 2.</w:t>
      </w:r>
    </w:p>
    <w:p>
      <w:r>
        <w:rPr>
          <w:b w:val="0"/>
          <w:i w:val="0"/>
        </w:rPr>
        <w:t>- Đảm bảo các yêu cầu về an toàn phòng cháy chữa cháy và an toàn vệ sinh môi trường (theo các tiêu chuẩn Nhà nước về xây dựng nói chung và tiêu chuẩn thiết kế TCVN-4530-1998: Cửa hàng xăng dầu – Yêu cầu thiết kế) và các tiêu chuẩn khác liên quan.</w:t>
      </w:r>
    </w:p>
    <w:p>
      <w:r>
        <w:rPr>
          <w:b w:val="0"/>
          <w:i w:val="0"/>
        </w:rPr>
        <w:t>- Ở các đoạn đường trùng với tuyến đường cao tốc, khi có dải phân cách cứng thì bố trí các cửa hàng so le về hai bên tuyến đường.</w:t>
      </w:r>
    </w:p>
    <w:p>
      <w:r>
        <w:rPr>
          <w:b/>
          <w:i w:val="0"/>
        </w:rPr>
        <w:t>4.2. Quy hoạch các cửa hàng</w:t>
      </w:r>
    </w:p>
    <w:p>
      <w:r>
        <w:rPr>
          <w:b/>
          <w:i w:val="0"/>
        </w:rPr>
        <w:t>1. Giai đoạn 2010-2015</w:t>
      </w:r>
    </w:p>
    <w:p>
      <w:r>
        <w:rPr>
          <w:b w:val="0"/>
          <w:i w:val="0"/>
        </w:rPr>
        <w:t>+ Xây dựng mới khoảng 100 cửa hàng, trong đó:</w:t>
      </w:r>
    </w:p>
    <w:p>
      <w:r>
        <w:rPr>
          <w:b w:val="0"/>
          <w:i w:val="0"/>
        </w:rPr>
        <w:t>- Xây dựng mới khoảng 12 cửa hàng loại I, 46 cửa hàng loại II. (Danh sách và địa điểm xây dựng mới xem Phụ lục số 01).</w:t>
      </w:r>
    </w:p>
    <w:p>
      <w:r>
        <w:rPr>
          <w:b w:val="0"/>
          <w:i w:val="0"/>
        </w:rPr>
        <w:t>- Xây dựng mới 42 cửa hàng loại III (Danh sách và địa điểm xây dựng mới xem Phụ lục số 02).</w:t>
      </w:r>
    </w:p>
    <w:p>
      <w:r>
        <w:rPr>
          <w:b w:val="0"/>
          <w:i w:val="0"/>
        </w:rPr>
        <w:t>Số lượng cửa hàng xăng dầu xây dựng mới có thể điều chỉnh tăng, giảm khoảng 10%.</w:t>
      </w:r>
    </w:p>
    <w:p>
      <w:r>
        <w:rPr>
          <w:b w:val="0"/>
          <w:i w:val="0"/>
        </w:rPr>
        <w:t>+ Cải tạo, nâng cấp về kiến trúc xây dựng bảo đảm khang trang, an toàn PCCC và môi trường 96 cửa hàng, bảo đảm đến năm 2015 các cửa hàng đã được xây dựng này đạt tiêu chuẩn cửa hàng loại III (danh sách xem Phụ lục số 03).</w:t>
      </w:r>
    </w:p>
    <w:p>
      <w:r>
        <w:rPr>
          <w:b w:val="0"/>
          <w:i w:val="0"/>
        </w:rPr>
        <w:t>+ Giải tỏa 55 cửa hàng hiện có (danh sách xem Phụ lục số 04).</w:t>
      </w:r>
    </w:p>
    <w:p>
      <w:r>
        <w:rPr>
          <w:b/>
          <w:i w:val="0"/>
        </w:rPr>
        <w:t>2. Giai đoạn 2016 – 2025</w:t>
      </w:r>
    </w:p>
    <w:p>
      <w:r>
        <w:rPr>
          <w:b w:val="0"/>
          <w:i w:val="0"/>
        </w:rPr>
        <w:t>+ Định hướng xây dựng mới khoảng 30 cửa hàng, trong đó:</w:t>
      </w:r>
    </w:p>
    <w:p>
      <w:r>
        <w:rPr>
          <w:b w:val="0"/>
          <w:i w:val="0"/>
        </w:rPr>
        <w:t>- Xây dựng mới 3 cửa hàng loại I, 18 cửa hàng loại II (Danh sách tham khảo địa điểm xây dựng mới xem Phụ lục số 01).</w:t>
      </w:r>
    </w:p>
    <w:p>
      <w:r>
        <w:rPr>
          <w:b w:val="0"/>
          <w:i w:val="0"/>
        </w:rPr>
        <w:t>- Xây dựng mới 9 cửa hàng loại III (Danh sách tham khảo địa điểm xây dựng mới xem Phụ lục số 02).</w:t>
      </w:r>
    </w:p>
    <w:p>
      <w:r>
        <w:rPr>
          <w:b w:val="0"/>
          <w:i w:val="0"/>
        </w:rPr>
        <w:t>+ Tiếp tục cải tạo, nâng cấp về kiến trúc xây dựng các cửa hàng bảo đảm đến năm 2020 đạt tiêu chuẩn cửa hàng loại III.</w:t>
      </w:r>
    </w:p>
    <w:p>
      <w:r>
        <w:rPr>
          <w:b/>
          <w:i w:val="0"/>
        </w:rPr>
        <w:t>4.3. Nhu cầu vốn đầu tư</w:t>
      </w:r>
    </w:p>
    <w:p>
      <w:r>
        <w:rPr>
          <w:b w:val="0"/>
          <w:i w:val="0"/>
        </w:rPr>
        <w:t>Tổng vốn đầu tư: 761 tỷ đồng, tương đương 45.738.000 USD</w:t>
      </w:r>
    </w:p>
    <w:p>
      <w:r>
        <w:rPr>
          <w:b w:val="0"/>
          <w:i w:val="0"/>
        </w:rPr>
        <w:t>Trong đó:</w:t>
      </w:r>
    </w:p>
    <w:p>
      <w:r>
        <w:rPr>
          <w:b w:val="0"/>
          <w:i w:val="0"/>
        </w:rPr>
        <w:t>Giai đoạn 2010- 2015: 565 tỷ đồng, tương đương 34.025.000 USD</w:t>
      </w:r>
    </w:p>
    <w:p>
      <w:r>
        <w:rPr>
          <w:b w:val="0"/>
          <w:i w:val="0"/>
        </w:rPr>
        <w:t>Giai đoạn 2016-2025: 196 tỷ đồng, tương đương 11.713.000 USD</w:t>
      </w:r>
    </w:p>
    <w:p>
      <w:r>
        <w:rPr>
          <w:b/>
          <w:i w:val="0"/>
        </w:rPr>
        <w:t>4.4. Nhu cầu sử dụng đất</w:t>
      </w:r>
    </w:p>
    <w:p>
      <w:r>
        <w:rPr>
          <w:b w:val="0"/>
          <w:i w:val="0"/>
        </w:rPr>
        <w:t>Tổng nhu cầu sử dụng đất: 396.000 m</w:t>
      </w:r>
      <w:r>
        <w:rPr>
          <w:b w:val="0"/>
          <w:i w:val="0"/>
        </w:rPr>
        <w:t>2</w:t>
      </w:r>
      <w:r>
        <w:rPr>
          <w:b w:val="0"/>
          <w:i w:val="0"/>
        </w:rPr>
        <w:t>.</w:t>
      </w:r>
    </w:p>
    <w:p>
      <w:r>
        <w:rPr>
          <w:b/>
          <w:i w:val="0"/>
        </w:rPr>
        <w:t>5. Giải pháp và chính sách chủ yếu</w:t>
      </w:r>
    </w:p>
    <w:p>
      <w:r>
        <w:rPr>
          <w:b/>
          <w:i w:val="0"/>
        </w:rPr>
        <w:t>5.1. Các giải pháp chủ yếu</w:t>
      </w:r>
    </w:p>
    <w:p>
      <w:r>
        <w:rPr>
          <w:b w:val="0"/>
          <w:i/>
        </w:rPr>
        <w:t xml:space="preserve">- Giải pháp về vốn: </w:t>
      </w:r>
      <w:r>
        <w:rPr>
          <w:b w:val="0"/>
          <w:i w:val="0"/>
        </w:rPr>
        <w:t>Sử dụng 100% vốn tự cân đối hoặc vay tín dụng của các doanh nghiệp để xây dựng cửa hàng xăng dầu.</w:t>
      </w:r>
    </w:p>
    <w:p>
      <w:r>
        <w:rPr>
          <w:b w:val="0"/>
          <w:i/>
        </w:rPr>
        <w:t xml:space="preserve">- Giải pháp về đất đai: </w:t>
      </w:r>
      <w:r>
        <w:rPr>
          <w:b w:val="0"/>
          <w:i w:val="0"/>
        </w:rPr>
        <w:t>Có thể tổ chức đấu thầu quyền sử dụng đất cho các doanh nghiệp. Tại các địa bàn trọng yếu nên ưu tiên cho các doanh nghiệp nhà nước (Petrolimex …) xây dựng cửa hàng xăng dầu để bảo đảm an ninh năng lượng.</w:t>
      </w:r>
    </w:p>
    <w:p>
      <w:r>
        <w:rPr>
          <w:b w:val="0"/>
          <w:i/>
        </w:rPr>
        <w:t xml:space="preserve">- Giải pháp về quản lý hệ thống cửa hàng xăng dầu: </w:t>
      </w:r>
      <w:r>
        <w:rPr>
          <w:b w:val="0"/>
          <w:i w:val="0"/>
        </w:rPr>
        <w:t>Thực hiện nghiêm túc quy định của Chính phủ về hoạt động kinh doanh xăng dầu, nhất là Nghị định 84/2009/NĐ-CP ngày 15 tháng 12 năm 2009 của Chính phủ về điều kiện kinh doanh xăng dầu. Kiên quyết ngừng kinh doanh các cửa hàng không phù hợp với quy hoạch, không có Giấy chứng nhận đủ điều kiện kinh doanh xăng dầu, vi phạm lộ giới, không bảo đảm các tiêu chí cửa hàng theo quy định, không bảo đảm an toàn PCCC và môi trường, ảnh hưởng đến trật tự xã hội. Tăng cường công tác kiểm tra, kiểm soát quản lý thị trường, kiên quyết xử lý các trường hợp vi phạm về kinh doanh xăng dầu.</w:t>
      </w:r>
    </w:p>
    <w:p>
      <w:r>
        <w:rPr>
          <w:b w:val="0"/>
          <w:i/>
        </w:rPr>
        <w:t xml:space="preserve">- Giải pháp về bảo vệ môi trường: </w:t>
      </w:r>
      <w:r>
        <w:rPr>
          <w:b w:val="0"/>
          <w:i w:val="0"/>
        </w:rPr>
        <w:t>Xác định vị trí, địa điểm phù hợp với quy hoạch; tuân thủ các tiêu chuẩn kinh tế, kỹ thuật chuyên ngành và các tiêu chuẩn vệ sinh môi trường trong thiết kế và xây dựng cửa hàng: có các phương tiện chống tràn, rò rỉ và bốc hơi xăng dầu; xây dựng và thực hiện quy chế kiểm tra và xử phạt nghiêm khắc đối với các vi phạm gây ô nhiễm môi trường; phân công trách nhiệm, phối hợp quản lý giữa các ban, ngành trung ương và địa phương trong việc chỉ đạo, giám sát các hoạt động bảo vệ môi trường của các cửa hàng xăng dầu.</w:t>
      </w:r>
    </w:p>
    <w:p>
      <w:r>
        <w:rPr>
          <w:b/>
          <w:i w:val="0"/>
        </w:rPr>
        <w:t>6. Tổ chức thực hiện</w:t>
      </w:r>
    </w:p>
    <w:p>
      <w:r>
        <w:rPr>
          <w:b w:val="0"/>
          <w:i w:val="0"/>
        </w:rPr>
        <w:t>1. Bộ Công Thương có trách nhiệm công bố và giám sát thực hiện quy hoạch sau khi phê duyệt.</w:t>
      </w:r>
    </w:p>
    <w:p>
      <w:r>
        <w:rPr>
          <w:b w:val="0"/>
          <w:i w:val="0"/>
        </w:rPr>
        <w:t>2. Giao Tổng công ty Xăng dầu Việt Nam (Petrolimex) chủ trì, phối hợp với các địa phương có đường Hồ Chí Minh giai đoạn I đi qua triển khai xây dựng các cửa hàng loại 1 và loại 2 theo danh sách ở Phụ lục 1, 2 kèm Quyết định này. Trong quá trình triển khai nếu gặp vướng mắc báo cáo Bộ để xử lý.</w:t>
      </w:r>
    </w:p>
    <w:p>
      <w:r>
        <w:rPr>
          <w:b w:val="0"/>
          <w:i w:val="0"/>
        </w:rPr>
        <w:t>3. UBND các tỉnh có tuyến đường Hồ Chí Minh giai đoạn I đi qua:</w:t>
      </w:r>
    </w:p>
    <w:p>
      <w:r>
        <w:rPr>
          <w:b w:val="0"/>
          <w:i w:val="0"/>
        </w:rPr>
        <w:t>- Chỉ đạo Sở Công thương phối hợp với các ban ngành địa phương xem xét việc chấp thuận cho xây dựng mới các cửa hàng loại 3 trên địa bàn mình quản lý tại Phụ lục số 2 của Quyết định này.</w:t>
      </w:r>
    </w:p>
    <w:p>
      <w:r>
        <w:rPr>
          <w:b w:val="0"/>
          <w:i w:val="0"/>
        </w:rPr>
        <w:t>- Chỉ đạo Sở Công thương phối hợp với các ban ngành địa phương rà soát, theo dõi cải tạo nâng cấp các cửa hàng trên địa bàn mình quản lý tại Phụ lục số 3 của Quyết định này.</w:t>
      </w:r>
    </w:p>
    <w:p>
      <w:r>
        <w:rPr>
          <w:b/>
          <w:i w:val="0"/>
        </w:rPr>
        <w:t xml:space="preserve">Điều 2. </w:t>
      </w:r>
      <w:r>
        <w:rPr>
          <w:b w:val="0"/>
          <w:i w:val="0"/>
        </w:rPr>
        <w:t>Các cửa hàng xăng dầu dọc tuyến đường Hồ Chí Minh giai đoạn I đã được Bộ Công Thương và Bộ Thương mại trước đây phê duyệt mà không nằm trong danh mục của các Phụ lục kèm theo Quyết định này vẫn tiếp tục thực hiện.</w:t>
      </w:r>
    </w:p>
    <w:p>
      <w:r>
        <w:rPr>
          <w:b/>
          <w:i w:val="0"/>
        </w:rPr>
        <w:t xml:space="preserve">Điều 3. </w:t>
      </w:r>
      <w:r>
        <w:rPr>
          <w:b w:val="0"/>
          <w:i w:val="0"/>
        </w:rPr>
        <w:t>Quyết định này có hiệu lực sau 15 ngày kể từ ngày ký.</w:t>
      </w:r>
    </w:p>
    <w:p>
      <w:r>
        <w:rPr>
          <w:b/>
          <w:i w:val="0"/>
        </w:rPr>
        <w:t xml:space="preserve">Điều 4. </w:t>
      </w:r>
      <w:r>
        <w:rPr>
          <w:b w:val="0"/>
          <w:i w:val="0"/>
        </w:rPr>
        <w:t>Chánh Văn phòng Bộ, Chánh Thanh tra Bộ, Vụ trưởng, Cục trưởng các Cục, Vụ thuộc Bộ, UBND các Tỉnh có đường Hồ Chí Minh giai đoạn I đi qua và các tổ chức, cá nhân có liên quan chịu trách nhiệm thi hành Quyết định này.</w:t>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Cẩm Tú</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Cẩm Tú</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Cẩm Tú</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