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07/1999/QĐ-BNN/TCCB Về việc chuyển Công ty xây dựng 47 thành viên Tổng công ty xây dựng 4 thành doanh nghiệp độc lập</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07/1999/QĐ-BNN/TCCB</w:t>
      </w:r>
      <w:r>
        <w:rPr>
          <w:b w:val="0"/>
          <w:i w:val="0"/>
        </w:rPr>
        <w:br/>
      </w:r>
      <w:r>
        <w:rPr>
          <w:b w:val="0"/>
          <w:i w:val="0"/>
        </w:rPr>
        <w:br/>
      </w:r>
      <w:r>
        <w:rPr>
          <w:b w:val="0"/>
          <w:i/>
        </w:rPr>
        <w:br/>
      </w:r>
      <w:r>
        <w:rPr>
          <w:b w:val="0"/>
          <w:i/>
        </w:rPr>
        <w:t>Hà Nội, ngày 12 tháng 01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07/1999/QĐ-BNN/TCCB</w:t>
      </w:r>
      <w:r>
        <w:rPr>
          <w:b w:val="0"/>
          <w:i w:val="0"/>
        </w:rPr>
        <w:br/>
      </w:r>
      <w:r>
        <w:rPr>
          <w:b w:val="0"/>
          <w:i w:val="0"/>
        </w:rPr>
        <w:br/>
      </w:r>
      <w:r>
        <w:rPr>
          <w:b w:val="0"/>
          <w:i/>
        </w:rPr>
        <w:br/>
      </w:r>
      <w:r>
        <w:rPr>
          <w:b w:val="0"/>
          <w:i/>
        </w:rPr>
        <w:t>Hà Nội, ngày 12 tháng 01 năm 1999</w:t>
      </w:r>
      <w:r>
        <w:rPr>
          <w:b w:val="0"/>
          <w:i/>
        </w:rPr>
        <w:br/>
      </w:r>
      <w:r>
        <w:rPr>
          <w:b w:val="0"/>
          <w:i w:val="0"/>
        </w:rPr>
        <w:br/>
      </w:r>
    </w:p>
    <w:p>
      <w:pPr>
        <w:jc w:val="center"/>
      </w:pPr>
      <w:r>
        <w:rPr>
          <w:b w:val="0"/>
          <w:i w:val="0"/>
        </w:rPr>
        <w:br/>
      </w:r>
      <w:r>
        <w:rPr>
          <w:b w:val="0"/>
          <w:i w:val="0"/>
        </w:rPr>
        <w:t>Số: 07/1999/QĐ-BNN/TCCB</w:t>
      </w:r>
      <w:r>
        <w:rPr>
          <w:b w:val="0"/>
          <w:i w:val="0"/>
        </w:rPr>
        <w:br/>
      </w:r>
    </w:p>
    <w:p>
      <w:pPr>
        <w:jc w:val="center"/>
      </w:pPr>
      <w:r>
        <w:rPr>
          <w:b w:val="0"/>
          <w:i w:val="0"/>
        </w:rPr>
        <w:br/>
      </w:r>
      <w:r>
        <w:rPr>
          <w:b w:val="0"/>
          <w:i w:val="0"/>
        </w:rPr>
        <w:t>Hà Nội, ngày 12 tháng 01 năm 1999</w:t>
      </w:r>
      <w:r>
        <w:rPr>
          <w:b w:val="0"/>
          <w:i w:val="0"/>
        </w:rPr>
        <w:br/>
      </w:r>
    </w:p>
    <w:p>
      <w:r>
        <w:rPr>
          <w:b w:val="0"/>
          <w:i w:val="0"/>
        </w:rPr>
        <w:br/>
      </w:r>
      <w:r>
        <w:rPr>
          <w:b/>
          <w:i w:val="0"/>
        </w:rPr>
        <w:t xml:space="preserve">QUYẾT ĐỊNH </w:t>
      </w:r>
      <w:r>
        <w:rPr>
          <w:b w:val="0"/>
          <w:i w:val="0"/>
        </w:rPr>
        <w:br/>
      </w:r>
      <w:r>
        <w:rPr>
          <w:b/>
          <w:i w:val="0"/>
        </w:rPr>
        <w:t>Về việc chuyển Công ty xây dựng 47 thành viên Tổng công ty xây dựng 4</w:t>
      </w:r>
      <w:r>
        <w:rPr>
          <w:b w:val="0"/>
          <w:i w:val="0"/>
        </w:rPr>
        <w:br/>
      </w:r>
      <w:r>
        <w:rPr>
          <w:b/>
          <w:i w:val="0"/>
        </w:rPr>
        <w:t>thành doanh nghiệp độc lập</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nghiệp nông thôn;</w:t>
      </w:r>
      <w:r>
        <w:rPr>
          <w:b w:val="0"/>
          <w:i w:val="0"/>
        </w:rPr>
        <w:br/>
      </w:r>
      <w:r>
        <w:rPr>
          <w:b w:val="0"/>
          <w:i/>
        </w:rPr>
        <w:t>Căn cứ Luật doanh nghiệp nhà nước ngày 20/4/1995, Nghị định 50-CP ngày 28/8/1996 của Chính phủ về thành lập, tổ chức lại, giải thể và phá sản doanh nghiệp nhà nước;</w:t>
      </w:r>
      <w:r>
        <w:rPr>
          <w:b w:val="0"/>
          <w:i w:val="0"/>
        </w:rPr>
        <w:br/>
      </w:r>
      <w:r>
        <w:rPr>
          <w:b w:val="0"/>
          <w:i/>
        </w:rPr>
        <w:t>Xét hồ sơ xin ra khỏi Tổng Công ty Xây dựng 4 ngày 16/01/1998 của Công ty xây dựng 47 do Giám đốc, Bí thư Đảng uỷ, Chủ tịch công đoàn Công ty đề nghị; xét đề nghị của Hội đồng quản trị và Tổng giám đốc Tổng công ty Xây dựng 4 tại văn bản đề ngày 3, 4/8/1998 và ngày 24/12/1998;</w:t>
      </w:r>
      <w:r>
        <w:rPr>
          <w:b w:val="0"/>
          <w:i w:val="0"/>
        </w:rPr>
        <w:br/>
      </w:r>
      <w:r>
        <w:rPr>
          <w:b w:val="0"/>
          <w:i/>
        </w:rPr>
        <w:t xml:space="preserve">Theo đề </w:t>
      </w:r>
      <w:r>
        <w:rPr>
          <w:b w:val="0"/>
          <w:i/>
        </w:rPr>
        <w:t>nghị của</w:t>
      </w:r>
      <w:r>
        <w:rPr>
          <w:b w:val="0"/>
          <w:i/>
        </w:rPr>
        <w:t xml:space="preserve"> Vụ trưởng Vụ Tổ chức cán bộ,</w:t>
      </w:r>
      <w:r>
        <w:rPr>
          <w:b w:val="0"/>
          <w:i w:val="0"/>
        </w:rPr>
        <w:br/>
      </w:r>
      <w:r>
        <w:rPr>
          <w:b/>
          <w:i w:val="0"/>
        </w:rPr>
        <w:t>QUYẾT ĐỊNH:</w:t>
      </w:r>
      <w:r>
        <w:rPr>
          <w:b w:val="0"/>
          <w:i w:val="0"/>
        </w:rPr>
        <w:br/>
      </w:r>
      <w:r>
        <w:rPr>
          <w:b/>
          <w:i w:val="0"/>
        </w:rPr>
        <w:t xml:space="preserve">Điều 1. </w:t>
      </w:r>
      <w:r>
        <w:rPr>
          <w:b w:val="0"/>
          <w:i w:val="0"/>
        </w:rPr>
        <w:t>Nay Công ty xây dựng 47 không là thành viên của Tổng công ty Xây dựng 4, trở thành doanh nghiệp độc lập của Bộ Nông nghiệp và Phát triển nông thôn.</w:t>
      </w:r>
      <w:r>
        <w:rPr>
          <w:b w:val="0"/>
          <w:i w:val="0"/>
        </w:rPr>
        <w:br/>
      </w:r>
      <w:r>
        <w:rPr>
          <w:b w:val="0"/>
          <w:i w:val="0"/>
        </w:rPr>
        <w:t>Công ty Xây dựng 47 được giữ nguyên trạng và chịu trách nhiệm trước pháp luật về toàn bộ vốn, tài sản (bao gồm cả động sản và bất động sản) đã được giao quản lý và công nợ phát sinh trong quá trình hoạt động của Công ty.</w:t>
      </w:r>
      <w:r>
        <w:rPr>
          <w:b w:val="0"/>
          <w:i w:val="0"/>
        </w:rPr>
        <w:br/>
      </w:r>
      <w:r>
        <w:rPr>
          <w:b w:val="0"/>
          <w:i w:val="0"/>
        </w:rPr>
        <w:t>Công ty Xây dựng 47 phải làm đầy đủ các thủ tục về giao dịch hành chính, đăng ký lại kinh doanh, trình Bộ phê chuẩn lại điều lệ, và hoạt động theo đúng các quy định của pháp luật.</w:t>
      </w:r>
      <w:r>
        <w:rPr>
          <w:b w:val="0"/>
          <w:i w:val="0"/>
        </w:rPr>
        <w:br/>
      </w:r>
      <w:r>
        <w:rPr>
          <w:b/>
          <w:i w:val="0"/>
        </w:rPr>
        <w:t xml:space="preserve">Điều 2. </w:t>
      </w:r>
      <w:r>
        <w:rPr>
          <w:b w:val="0"/>
          <w:i w:val="0"/>
        </w:rPr>
        <w:t>Hội đồng quản trị, Tổng giám đốc Tổng công ty xây dựng 4 và Giám đốc Công ty Xây dựng 47 có trách nhiệm giải quyết các tồn tại về tổ chức, kinh tế, tài chính để ổn định hoạt động sản xuất kinh doanh theo chức năng của mỗi doanh nghiệp.</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Chánh Văn phòng Bộ, Vụ trưởng Vụ Tổ chức cán bộ, Thủ trưởng các đơn vị thuộc Bộ có liên quan, Chủ tịch Hội đồng quản trị và Tổng giám đốc Tổng công ty xây dựng Thuỷ lợi 4 và Giám đốc Xây dựng 47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t>BỘ NÔNG NGHIỆP VÀ PHÁT TRIỂN NÔNG THÔN</w:t>
      </w:r>
      <w:r>
        <w:br/>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 VÀ PHÁT TRIỂN NÔNG THÔN</w:t>
      </w:r>
      <w:r>
        <w:br/>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i w:val="0"/>
        </w:rPr>
        <w:t>BỘ NÔNG NGHIỆP VÀ PHÁT TRIỂN NÔNG THÔN</w:t>
      </w:r>
      <w:r>
        <w:br/>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