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07/2006/QĐ-BTS Về việc ban hành Chương trình hành động của Bộ Thuỷ sản thực hiện Luật Phòng, chống tham nhũng; Luật Thực hành tiết kiệm, chống lãng phí</w:t>
      </w:r>
    </w:p>
    <w:p>
      <w:r>
        <w:rPr>
          <w:b w:val="0"/>
          <w:i w:val="0"/>
        </w:rPr>
        <w:br/>
      </w:r>
      <w:r>
        <w:rPr>
          <w:b w:val="0"/>
          <w:i w:val="0"/>
        </w:rPr>
        <w:br/>
      </w:r>
      <w:r>
        <w:rPr>
          <w:b w:val="0"/>
          <w:i w:val="0"/>
        </w:rPr>
        <w:br/>
      </w:r>
      <w:r>
        <w:rPr>
          <w:b/>
          <w:i w:val="0"/>
        </w:rPr>
        <w:br/>
      </w:r>
      <w:r>
        <w:rPr>
          <w:b/>
          <w:i w:val="0"/>
        </w:rPr>
        <w:br/>
        <w:t xml:space="preserve">       BỘ THUỶ SẢN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07/2006/QĐ-BTS</w:t>
        <w:br/>
        <w:t xml:space="preserve">     </w:t>
      </w:r>
      <w:r>
        <w:rPr>
          <w:b w:val="0"/>
          <w:i w:val="0"/>
        </w:rPr>
        <w:br/>
      </w:r>
      <w:r>
        <w:rPr>
          <w:b w:val="0"/>
          <w:i/>
        </w:rPr>
        <w:br/>
        <w:t xml:space="preserve">      Hà Nội, ngày 19 tháng 4 năm 2006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THUỶ SẢN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07/2006/QĐ-BTS</w:t>
        <w:br/>
        <w:t xml:space="preserve">     </w:t>
      </w:r>
      <w:r>
        <w:rPr>
          <w:b w:val="0"/>
          <w:i w:val="0"/>
        </w:rPr>
        <w:br/>
      </w:r>
      <w:r>
        <w:rPr>
          <w:b w:val="0"/>
          <w:i/>
        </w:rPr>
        <w:br/>
        <w:t xml:space="preserve">      Hà Nội, ngày 19 tháng 4 năm 2006</w:t>
        <w:br/>
        <w:t xml:space="preserve">     </w:t>
      </w:r>
      <w:r>
        <w:rPr>
          <w:b w:val="0"/>
          <w:i w:val="0"/>
        </w:rPr>
        <w:br/>
      </w:r>
      <w:r>
        <w:rPr>
          <w:b w:val="0"/>
          <w:i w:val="0"/>
        </w:rPr>
        <w:br/>
      </w:r>
    </w:p>
    <w:p>
      <w:r>
        <w:rPr>
          <w:b w:val="0"/>
          <w:i w:val="0"/>
        </w:rPr>
        <w:br/>
      </w:r>
      <w:r>
        <w:rPr>
          <w:b/>
          <w:i w:val="0"/>
        </w:rPr>
        <w:br/>
      </w:r>
      <w:r>
        <w:rPr>
          <w:b/>
          <w:i w:val="0"/>
        </w:rPr>
        <w:br/>
        <w:t xml:space="preserve">       BỘ THUỶ SẢN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THUỶ SẢN</w:t>
        <w:br/>
        <w:t xml:space="preserve">      </w:t>
      </w:r>
      <w:r>
        <w:rPr>
          <w:b w:val="0"/>
          <w:i w:val="0"/>
        </w:rPr>
        <w:br/>
      </w:r>
      <w:r>
        <w:rPr>
          <w:b w:val="0"/>
          <w:i w:val="0"/>
        </w:rPr>
        <w:br/>
      </w:r>
    </w:p>
    <w:p>
      <w:r>
        <w:rPr>
          <w:b w:val="0"/>
          <w:i w:val="0"/>
        </w:rPr>
        <w:br/>
        <w:t xml:space="preserve">       BỘ THUỶ SẢN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07/2006/QĐ-BTS</w:t>
        <w:br/>
        <w:t xml:space="preserve">     </w:t>
      </w:r>
      <w:r>
        <w:rPr>
          <w:b w:val="0"/>
          <w:i w:val="0"/>
        </w:rPr>
        <w:br/>
      </w:r>
      <w:r>
        <w:rPr>
          <w:b w:val="0"/>
          <w:i/>
        </w:rPr>
        <w:br/>
        <w:t xml:space="preserve">      Hà Nội, ngày 19 tháng 4 năm 2006</w:t>
        <w:br/>
        <w:t xml:space="preserve">     </w:t>
      </w:r>
      <w:r>
        <w:rPr>
          <w:b w:val="0"/>
          <w:i w:val="0"/>
        </w:rPr>
        <w:br/>
      </w:r>
    </w:p>
    <w:p>
      <w:pPr>
        <w:jc w:val="center"/>
      </w:pPr>
      <w:r>
        <w:rPr>
          <w:b w:val="0"/>
          <w:i w:val="0"/>
        </w:rPr>
        <w:br/>
        <w:t xml:space="preserve">      Số: 07/2006/QĐ-BTS</w:t>
        <w:br/>
        <w:t xml:space="preserve">     </w:t>
      </w:r>
    </w:p>
    <w:p>
      <w:pPr>
        <w:jc w:val="center"/>
      </w:pPr>
      <w:r>
        <w:rPr>
          <w:b w:val="0"/>
          <w:i w:val="0"/>
        </w:rPr>
        <w:br/>
        <w:t xml:space="preserve">      Hà Nội, ngày 19 tháng 4 năm 2006</w:t>
        <w:br/>
        <w:t xml:space="preserve">     </w:t>
      </w:r>
    </w:p>
    <w:p>
      <w:r>
        <w:rPr>
          <w:b/>
          <w:i w:val="0"/>
        </w:rPr>
        <w:t>QUYẾT ĐỊNH</w:t>
      </w:r>
    </w:p>
    <w:p>
      <w:r>
        <w:rPr>
          <w:b/>
          <w:i w:val="0"/>
        </w:rPr>
        <w:t>Về việc ban hành Chương trình hành động của Bộ Thủy sản thực hiện luật</w:t>
      </w:r>
    </w:p>
    <w:p>
      <w:r>
        <w:rPr>
          <w:b/>
          <w:i w:val="0"/>
        </w:rPr>
        <w:t>phòng, chống tham nhũng; luật thực hành tiết kiệm, chống lãng phí</w:t>
      </w:r>
    </w:p>
    <w:p>
      <w:r>
        <w:rPr>
          <w:b/>
          <w:i w:val="0"/>
        </w:rPr>
        <w:t>________________________</w:t>
      </w:r>
    </w:p>
    <w:p>
      <w:r>
        <w:rPr>
          <w:b/>
          <w:i w:val="0"/>
        </w:rPr>
        <w:t>BỘ TRƯỞNG BỘ THỦY SẢN</w:t>
      </w:r>
    </w:p>
    <w:p>
      <w:r>
        <w:rPr>
          <w:b w:val="0"/>
          <w:i/>
        </w:rPr>
        <w:t>Căn cứ Nghị định số 43/2003/NĐ-CP ngày 02 tháng 5 năm 2003 của Chính phủ quy định chức năng, nhiệm vụ, quyền hạn và cơ cấu tổ chức của Bộ Thủy sản;</w:t>
      </w:r>
    </w:p>
    <w:p>
      <w:r>
        <w:rPr>
          <w:b w:val="0"/>
          <w:i/>
        </w:rPr>
        <w:t>Căn cứ Quyết định số 25/2006/QĐ-TTg ngày 26 tháng 01 năm 2006 của Thủ tướng Chính phủ về việc ban hành Chương trình hành động của Chính phủ về thực hành tiết kiệm, chống lãng phí;</w:t>
      </w:r>
    </w:p>
    <w:p>
      <w:r>
        <w:rPr>
          <w:b w:val="0"/>
          <w:i/>
        </w:rPr>
        <w:t>Căn cứ Quyết định số 30/2006/QĐ-TTg ngày 06 tháng 02 năm 2006 của Thủ tướng Chính phủ về việc ban hành Chương trình hành động của Chính phủ thực hiện Luật Phòng, chống tham nhũng;</w:t>
      </w:r>
    </w:p>
    <w:p>
      <w:r>
        <w:rPr>
          <w:b w:val="0"/>
          <w:i/>
        </w:rPr>
        <w:t>Theo đề nghị của Chánh Thanh tra Bộ, Vụ trưởng Vụ Kế hoạch Tài chính và Vụ trưởng Vụ Pháp chế.</w:t>
      </w:r>
    </w:p>
    <w:p>
      <w:r>
        <w:rPr>
          <w:b/>
          <w:i w:val="0"/>
        </w:rPr>
        <w:t>QUYẾT ĐỊNH</w:t>
      </w:r>
    </w:p>
    <w:p>
      <w:r>
        <w:rPr>
          <w:b/>
          <w:i w:val="0"/>
        </w:rPr>
        <w:t xml:space="preserve">Điều 1. </w:t>
      </w:r>
      <w:r>
        <w:rPr>
          <w:b w:val="0"/>
          <w:i w:val="0"/>
        </w:rPr>
        <w:t>Ban hành kèm theo Quyết định này Chương trình hành động của Bộ Thủy sản thực hiện Luật Phòng, chống tham nhũng; Luật Thực hành tiết kiệm, chống lãng phí.</w:t>
      </w:r>
    </w:p>
    <w:p>
      <w:r>
        <w:rPr>
          <w:b/>
          <w:i w:val="0"/>
        </w:rPr>
        <w:t xml:space="preserve">Điều 2. </w:t>
      </w:r>
      <w:r>
        <w:rPr>
          <w:b w:val="0"/>
          <w:i w:val="0"/>
        </w:rPr>
        <w:t>Quyết định này có hiệu lực sau 15 ngày kể từ ngày đăng Công báo.</w:t>
      </w:r>
    </w:p>
    <w:p>
      <w:r>
        <w:rPr>
          <w:b/>
          <w:i w:val="0"/>
        </w:rPr>
        <w:t xml:space="preserve">Điều 3. </w:t>
      </w:r>
      <w:r>
        <w:rPr>
          <w:b w:val="0"/>
          <w:i w:val="0"/>
        </w:rPr>
        <w:t>Chánh Văn phòng, Chánh Thanh tra Bộ, Vụ trưởng Vụ Kế hoạch Tài chính, Thủ trưởng các Vụ, Cục, các đơn vị, các Tổng công ty, doanh nghiệp thuộc Bộ chịu trách nhiệm thi hành Quyết định này./.</w:t>
      </w:r>
    </w:p>
    <w:p>
      <w:r>
        <w:rPr>
          <w:b w:val="0"/>
          <w:i w:val="0"/>
        </w:rPr>
        <w:br/>
      </w:r>
      <w:r>
        <w:rPr>
          <w:b w:val="0"/>
          <w:i w:val="0"/>
        </w:rPr>
        <w:br/>
      </w:r>
      <w:r>
        <w:rPr>
          <w:b/>
          <w:i w:val="0"/>
        </w:rPr>
        <w:br/>
      </w:r>
      <w:r>
        <w:rPr>
          <w:b/>
          <w:i w:val="0"/>
        </w:rPr>
        <w:br/>
        <w:t xml:space="preserve">      BỘ TRƯỞNG</w:t>
        <w:br/>
        <w:t xml:space="preserve">     </w:t>
      </w:r>
      <w:r>
        <w:rPr>
          <w:b/>
          <w:i w:val="0"/>
        </w:rPr>
        <w:br/>
      </w:r>
      <w:r>
        <w:rPr>
          <w:b/>
          <w:i w:val="0"/>
        </w:rPr>
        <w:br/>
      </w:r>
      <w:r>
        <w:rPr>
          <w:b/>
          <w:i w:val="0"/>
        </w:rPr>
        <w:br/>
        <w:t xml:space="preserve">      Tạ Quang Ngọc</w:t>
        <w:br/>
        <w:t xml:space="preserve">     </w:t>
      </w:r>
      <w:r>
        <w:rPr>
          <w:b/>
          <w:i w:val="0"/>
        </w:rPr>
        <w:br/>
      </w:r>
      <w:r>
        <w:rPr>
          <w:b w:val="0"/>
          <w:i w:val="0"/>
        </w:rPr>
        <w:br/>
      </w:r>
      <w:r>
        <w:rPr>
          <w:b w:val="0"/>
          <w:i w:val="0"/>
        </w:rPr>
        <w:br/>
      </w:r>
    </w:p>
    <w:p>
      <w:r>
        <w:rPr>
          <w:b w:val="0"/>
          <w:i w:val="0"/>
        </w:rPr>
        <w:br/>
      </w:r>
      <w:r>
        <w:rPr>
          <w:b/>
          <w:i w:val="0"/>
        </w:rPr>
        <w:br/>
      </w:r>
      <w:r>
        <w:rPr>
          <w:b/>
          <w:i w:val="0"/>
        </w:rPr>
        <w:br/>
        <w:t xml:space="preserve">      BỘ TRƯỞNG</w:t>
        <w:br/>
        <w:t xml:space="preserve">     </w:t>
      </w:r>
      <w:r>
        <w:rPr>
          <w:b/>
          <w:i w:val="0"/>
        </w:rPr>
        <w:br/>
      </w:r>
      <w:r>
        <w:rPr>
          <w:b/>
          <w:i w:val="0"/>
        </w:rPr>
        <w:br/>
      </w:r>
      <w:r>
        <w:rPr>
          <w:b/>
          <w:i w:val="0"/>
        </w:rPr>
        <w:br/>
        <w:t xml:space="preserve">      Tạ Quang Ngọc</w:t>
        <w:br/>
        <w:t xml:space="preserve">     </w:t>
      </w:r>
      <w:r>
        <w:rPr>
          <w:b/>
          <w:i w:val="0"/>
        </w:rPr>
        <w:br/>
      </w:r>
      <w:r>
        <w:rPr>
          <w:b w:val="0"/>
          <w:i w:val="0"/>
        </w:rPr>
        <w:br/>
      </w:r>
    </w:p>
    <w:p>
      <w:pPr>
        <w:jc w:val="center"/>
      </w:pPr>
      <w:r>
        <w:rPr>
          <w:b w:val="0"/>
          <w:i w:val="0"/>
        </w:rPr>
        <w:br/>
      </w:r>
      <w:r>
        <w:rPr>
          <w:b/>
          <w:i w:val="0"/>
        </w:rPr>
        <w:br/>
        <w:t xml:space="preserve">      BỘ TRƯỞNG</w:t>
        <w:br/>
        <w:t xml:space="preserve">     </w:t>
      </w:r>
      <w:r>
        <w:rPr>
          <w:b w:val="0"/>
          <w:i w:val="0"/>
        </w:rPr>
        <w:br/>
      </w:r>
      <w:r>
        <w:rPr>
          <w:b w:val="0"/>
          <w:i w:val="0"/>
        </w:rPr>
        <w:br/>
      </w:r>
      <w:r>
        <w:rPr>
          <w:b/>
          <w:i w:val="0"/>
        </w:rPr>
        <w:br/>
        <w:t xml:space="preserve">      Tạ Quang Ngọc</w:t>
        <w:br/>
        <w:t xml:space="preserve">     </w:t>
      </w:r>
      <w:r>
        <w:rPr>
          <w:b w:val="0"/>
          <w:i w:val="0"/>
        </w:rPr>
        <w:br/>
      </w:r>
    </w:p>
    <w:p>
      <w:r>
        <w:rPr>
          <w:b w:val="0"/>
          <w:i w:val="0"/>
        </w:rPr>
        <w:br/>
        <w:t xml:space="preserve">      BỘ TRƯỞNG</w:t>
        <w:br/>
        <w:t xml:space="preserve">     </w:t>
      </w:r>
    </w:p>
    <w:p>
      <w:r>
        <w:rPr>
          <w:b w:val="0"/>
          <w:i w:val="0"/>
        </w:rPr>
        <w:br/>
        <w:t xml:space="preserve">      Tạ Quang Ngọc</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