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07/2011/CT-UBND Tăng cường kiểm tra, xử lý vi phạm quy định về an toàn điện và sử dụng điện trên địa bàn tỉnh An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Về việc tăng cường kiểm tra, xử lý vi phạm quy định</w:t>
      </w:r>
    </w:p>
    <w:p>
      <w:pPr>
        <w:jc w:val="center"/>
      </w:pPr>
      <w:r>
        <w:rPr>
          <w:b/>
          <w:i w:val="0"/>
        </w:rPr>
        <w:t xml:space="preserve"> về an toàn điện và sử dụng điện trên địa bàn tỉnh An Giang</w:t>
      </w:r>
    </w:p>
    <w:p>
      <w:pPr>
        <w:jc w:val="center"/>
      </w:pPr>
      <w:r>
        <w:rPr>
          <w:b w:val="0"/>
          <w:i w:val="0"/>
        </w:rPr>
        <w:t>_________________________</w:t>
      </w:r>
    </w:p>
    <w:p>
      <w:r>
        <w:rPr>
          <w:b w:val="0"/>
          <w:i w:val="0"/>
        </w:rPr>
        <w:t>Trong thời gian qua, việc đẩy mạnh đầu tư phát triển lưới điện phục vụ sự nghiệp phát triển kinh tế - xã hội tỉnh nhà đã đạt được nhiều thành quả. Tuy nhiên, bên cạnh đó tình trạng vi phạm quy định về an toàn điện và sử dụng điện còn xảy ra khá phổ biến, trong đó có nhiều trường hợp vi phạm đã làm hư hỏng nghiêm trọng lưới điện, thiệt hại tài sản và tính mạng con người. Để ngăn ngừa và xử lý các hành vi vi phạm quy định về an toàn điện và sử dụng điện có hiệu quả trên địa bàn tỉnh, Uỷ ban nhân dân tỉnh chỉ thị:</w:t>
      </w:r>
    </w:p>
    <w:p>
      <w:r>
        <w:rPr>
          <w:b w:val="0"/>
          <w:i w:val="0"/>
        </w:rPr>
        <w:t>1. Sở Thông tin và Truyền thông chủ trì, phối hợp với Sở Công thương, Ủy ban nhân dân cấp huyện, cấp xã, Công ty Điện lực An Giang và Công ty cổ phần Điện nước An Giang đẩy mạnh công tác tuyên truyền, phổ biến các quy định của pháp luật về an toàn điện và sử dụng điện để người dân thông hiểu, thực hiện đúng theo quy định.</w:t>
      </w:r>
    </w:p>
    <w:p>
      <w:r>
        <w:rPr>
          <w:b w:val="0"/>
          <w:i w:val="0"/>
        </w:rPr>
        <w:t>2. Công an tỉnh chỉ đạo Phòng Cảnh sát phòng cháy chữa cháy và Cứu hộ cứu nạn và Công an huyện, thị xã, thành phố thường xuyên kiểm tra việc thực hiện các quy định về an toàn phòng cháy chữa cháy hệ thống điện tại các hộ gia đình, cơ quan, tổ chức, doanh nghiệp trong quá trình sử dụng điện phục vụ sinh hoạt, sản xuất, kinh doanh. Xử lý nghiêm các trường hợp cố ý vi phạm dẫn đến nguy cơ xảy ra cháy nổ hoặc để xảy ra cháy nổ gây hậu quả nghiêm trọng.</w:t>
      </w:r>
    </w:p>
    <w:p>
      <w:r>
        <w:rPr>
          <w:b w:val="0"/>
          <w:i w:val="0"/>
        </w:rPr>
        <w:t>3. Công ty Điện lực An Giang, Công ty cổ phần Điện nước An Giang chỉ đạo các đơn vị trực thuộc thường xuyên tổ chức kiểm tra việc thực hiện các quy định về an toàn điện và sử dụng điện trong phạm vi quản lý nhằm phát hiện, ngăn chặn và kiến nghị cơ quan có thẩm quyền xử lý kịp thời các trường hợp vi phạm. Báo cáo, đánh giá kết quả kiểm tra, kiến nghị xử lý các tổ chức, cá nhân vi phạm quy định về an toàn điện và sử dụng điện trong phạm vi quản lý về Sở Công thương theo định kỳ hàng quý, 6 tháng và năm.</w:t>
      </w:r>
    </w:p>
    <w:p>
      <w:r>
        <w:rPr>
          <w:b w:val="0"/>
          <w:i w:val="0"/>
        </w:rPr>
        <w:t>4. Uỷ ban nhân dân huyện, thị xã, thành phố:</w:t>
      </w:r>
    </w:p>
    <w:p>
      <w:r>
        <w:rPr>
          <w:b w:val="0"/>
          <w:i w:val="0"/>
        </w:rPr>
        <w:t>a) Chỉ đạo Phòng Kinh tế thị xã, thành phố; Phòng Kinh tế - Hạ tầng huyện:</w:t>
      </w:r>
    </w:p>
    <w:p>
      <w:r>
        <w:rPr>
          <w:b w:val="0"/>
          <w:i w:val="0"/>
        </w:rPr>
        <w:t>- Tiếp nhận hồ sơ vi phạm pháp luật trong lĩnh vực điện lực của các tổ chức, cá nhân do Điện lực, Xí nghiệp Điện nước huyện, thị xã, thành phố chuyển đến; tham mưu, đề xuất Uỷ ban nhân dân huyện, thị xã, thành phố xử lý theo quy định của pháp luật.</w:t>
      </w:r>
    </w:p>
    <w:p>
      <w:r>
        <w:rPr>
          <w:b w:val="0"/>
          <w:i w:val="0"/>
        </w:rPr>
        <w:t>- Báo cáo kết quả xử lý các tổ chức, cá nhân vi phạm các quy định về an toàn điện và sử dụng điện trên địa bàn huyện, thị xã, thành phố về Sở Công thương theo định kỳ hàng quý, 6 tháng và năm.</w:t>
      </w:r>
    </w:p>
    <w:p>
      <w:r>
        <w:rPr>
          <w:b w:val="0"/>
          <w:i w:val="0"/>
        </w:rPr>
        <w:t>b) Chỉ đạo Uỷ ban nhân dân cấp xã thường xuyên theo định kỳ tổ chức kiểm tra, xử lý theo thẩm quyền hoặc kiến nghị cơ quan có thẩm xử lý các hành vi vi phạm quy định về an toàn điện và sử dụng điện.</w:t>
      </w:r>
    </w:p>
    <w:p>
      <w:r>
        <w:rPr>
          <w:b w:val="0"/>
          <w:i w:val="0"/>
        </w:rPr>
        <w:t>5. Sở Công thương:</w:t>
      </w:r>
    </w:p>
    <w:p>
      <w:r>
        <w:rPr>
          <w:b w:val="0"/>
          <w:i w:val="0"/>
        </w:rPr>
        <w:t>a) Phối hợp với Sở Thông tin và Truyền thông tổ chức tuyên truyền, phổ biến các quy định của pháp luật về an toàn điện và sử dụng điện trên địa bàn tỉnh;</w:t>
      </w:r>
    </w:p>
    <w:p>
      <w:r>
        <w:rPr>
          <w:b w:val="0"/>
          <w:i w:val="0"/>
        </w:rPr>
        <w:t>b) Tổ chức tập huấn, hướng dẫn chuyên môn, nghiệp vụ về công tác kiểm tra, xử lý vi phạm quy định về an toàn điện và sử dụng điện cho lực lượng Kiểm tra viên điện lực của Công ty Điện lực An Giang, Công ty cổ phần Điện nước An Giang và cán bộ chuyên môn của Phòng Kinh tế thị xã, thành phố, Phòng Kinh tế - Hạ tầng huyện;</w:t>
      </w:r>
    </w:p>
    <w:p>
      <w:r>
        <w:rPr>
          <w:b w:val="0"/>
          <w:i w:val="0"/>
        </w:rPr>
        <w:t>c) Tổ chức kiểm tra, giám sát việc thực hiện các quy định về công tác kiểm tra, kiến nghị xử lý các tổ chức, cá nhân vi phạm các quy định về an toàn điện và sử dụng điện trên địa bàn tỉnh;</w:t>
      </w:r>
    </w:p>
    <w:p>
      <w:r>
        <w:rPr>
          <w:b w:val="0"/>
          <w:i w:val="0"/>
        </w:rPr>
        <w:t>d) Hướng dẫn, đôn đốc, kiểm tra việc thực hiện Chỉ thị này và báo cáo kết quả về Ủy ban nhân dân tỉnh theo định kỳ hàng quý, 6 tháng và năm.</w:t>
      </w:r>
    </w:p>
    <w:p>
      <w:r>
        <w:rPr>
          <w:b w:val="0"/>
          <w:i w:val="0"/>
        </w:rPr>
        <w:t xml:space="preserve">6. Chỉ thị này có hiệu lực thi hành sau 10 ngày kể từ ngày ký và thay thế Chỉ thị số 06/2007/CT-UBND ngày 03 tháng 4 năm 2007 của Ủy ban nhân dân tỉnh về việc tăng cường kiểm tra, xử lý các hành vi vi phạm quy định về bảo vệ an toàn công trình lưới điện cao áp./.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val="0"/>
                <w:i w:val="0"/>
              </w:rPr>
              <w:br/>
            </w:r>
            <w:r>
              <w:rPr>
                <w:b w:val="0"/>
                <w:i w:val="0"/>
              </w:rPr>
              <w:br/>
            </w:r>
            <w:r>
              <w:rPr>
                <w:b w:val="0"/>
                <w:i w:val="0"/>
              </w:rPr>
              <w:br/>
            </w:r>
            <w:r>
              <w:rPr>
                <w:b/>
                <w:i w:val="0"/>
              </w:rPr>
              <w:t xml:space="preserve">TM. ỦY BAN NHÂN DÂN TỈNH </w:t>
            </w:r>
            <w:r>
              <w:rPr>
                <w:b w:val="0"/>
                <w:i w:val="0"/>
              </w:rPr>
              <w:br/>
            </w:r>
            <w:r>
              <w:rPr>
                <w:b/>
                <w:i w:val="0"/>
              </w:rPr>
              <w:t>KT.CHỦ TỊCH</w:t>
            </w:r>
            <w:r>
              <w:rPr>
                <w:b w:val="0"/>
                <w:i w:val="0"/>
              </w:rPr>
              <w:br/>
            </w:r>
            <w:r>
              <w:rPr>
                <w:b/>
                <w:i w:val="0"/>
              </w:rPr>
              <w:t>PHÓ CHỦ TỊCH</w:t>
            </w:r>
            <w:r>
              <w:rPr>
                <w:b w:val="0"/>
                <w:i w:val="0"/>
              </w:rPr>
              <w:br/>
            </w:r>
            <w:r>
              <w:rPr>
                <w:b/>
                <w:i w:val="0"/>
              </w:rPr>
              <w:t xml:space="preserve">  (</w:t>
            </w:r>
            <w:r>
              <w:rPr>
                <w:b/>
                <w:i/>
              </w:rPr>
              <w:t>Đã ký)</w:t>
            </w:r>
            <w:r>
              <w:rPr>
                <w:b w:val="0"/>
                <w:i w:val="0"/>
              </w:rPr>
              <w:br/>
            </w:r>
            <w:r>
              <w:rPr>
                <w:b w:val="0"/>
                <w:i w:val="0"/>
              </w:rPr>
              <w:t xml:space="preserve"> </w:t>
            </w:r>
            <w:r>
              <w:rPr>
                <w:b/>
                <w:i w:val="0"/>
              </w:rPr>
              <w:t xml:space="preserve"> </w:t>
            </w:r>
            <w:r>
              <w:rPr>
                <w:b w:val="0"/>
                <w:i w:val="0"/>
              </w:rPr>
              <w:br/>
            </w:r>
            <w:r>
              <w:rPr>
                <w:b/>
                <w:i w:val="0"/>
              </w:rPr>
              <w:t>Vương Bình Thạnh</w:t>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