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07/2022/QĐ-UBND Bãi bỏ Quyết định số 21/2009/QĐ-UBND ngày 17/9/2009 của Ủy ban nhân dân tỉnh Lai Châu về việc ban hành Quy định về cơ chế quản lý, đầu tư, bảo vệ, khoanh nuôi tái sinh và trồng rừng trên địa bàn tỉnh Lai Châu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LAI CHÂU</w:t>
            </w:r>
            <w:r>
              <w:rPr>
                <w:b w:val="0"/>
                <w:i w:val="0"/>
              </w:rPr>
              <w:br/>
            </w:r>
          </w:p>
        </w:tc>
        <w:tc>
          <w:tcPr>
            <w:tcW w:type="dxa" w:w="4320"/>
          </w:tcPr>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p>
        </w:tc>
      </w:tr>
    </w:tbl>
    <w:p>
      <w:pPr>
        <w:jc w:val="center"/>
      </w:pPr>
      <w:r>
        <w:rPr>
          <w:b/>
          <w:i w:val="0"/>
        </w:rPr>
        <w:t>QUYẾT ĐỊNH</w:t>
      </w:r>
    </w:p>
    <w:p>
      <w:pPr>
        <w:jc w:val="center"/>
      </w:pPr>
      <w:r>
        <w:rPr>
          <w:b/>
          <w:i w:val="0"/>
        </w:rPr>
        <w:t>Bãi bỏ Quyết định số 21/2009/QĐ-UBND ngày 17/9/2009 của Ủy ban nhân</w:t>
      </w:r>
      <w:r>
        <w:br/>
      </w:r>
      <w:r>
        <w:rPr>
          <w:b/>
          <w:i w:val="0"/>
        </w:rPr>
        <w:br/>
        <w:t xml:space="preserve">      dân tỉnh Lai Châu về việc ban hành Quy định về cơ chế quản lý, đầu tư, bảo vệ, khoanh nuôi tái sinh và trồng rừng trên địa bàn tỉnh Lai Châu</w:t>
      </w:r>
    </w:p>
    <w:p>
      <w:pPr>
        <w:jc w:val="center"/>
      </w:pPr>
      <w:r>
        <w:rPr>
          <w:b/>
          <w:i w:val="0"/>
        </w:rPr>
        <w:t>ỦY BAN NHÂN DÂN TỈNH LAI CHÂU</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Ban hành văn bản quy phạm pháp luật ngày 22/6/2015; Luật Sửa đổi, bổ sung một số điều của Luật Ban hành văn bản quy phạm pháp luật ngày 18/6/2020;</w:t>
      </w:r>
    </w:p>
    <w:p>
      <w:r>
        <w:rPr>
          <w:b w:val="0"/>
          <w:i/>
        </w:rPr>
        <w:t>Căn cứ Luật Lâm nghiệp ngày 15/11/2017;</w:t>
      </w:r>
    </w:p>
    <w:p>
      <w:r>
        <w:rPr>
          <w:b w:val="0"/>
          <w:i/>
        </w:rPr>
        <w:t>Căn cứ Quyết định số 38/2016/QĐ-TTg ngày 14/9/2016 của Thủ tướng Chính phủ về việc ban hành một số chính sách bảo vệ, phát triển rừng và đầu tư hỗ trợ kết cấu hạ tầng, giao nhiệm vụ công ích đối với các công ty nông, lâm nghiệp;</w:t>
      </w:r>
    </w:p>
    <w:p>
      <w:r>
        <w:rPr>
          <w:b w:val="0"/>
          <w:i/>
        </w:rPr>
        <w:t>Căn cứ Thông tư số 15/2019/TT-BNNPTNT ngày 30/10/2019 của Bộ trưởng Bộ Nông nghiệp và PTNT về hướng dẫn một số nội dung quản lý đầu tư công trình lâm sinh;</w:t>
      </w:r>
    </w:p>
    <w:p>
      <w:r>
        <w:rPr>
          <w:b w:val="0"/>
          <w:i/>
        </w:rPr>
        <w:t>Theo đề nghị của Giám đốc Sở Nông nghiệp và Phát triển nông thôn,</w:t>
      </w:r>
    </w:p>
    <w:p>
      <w:pPr>
        <w:jc w:val="center"/>
      </w:pPr>
      <w:r>
        <w:rPr>
          <w:b/>
          <w:i w:val="0"/>
        </w:rPr>
        <w:t>QUYẾT ĐỊNH:</w:t>
      </w:r>
    </w:p>
    <w:p>
      <w:r>
        <w:rPr>
          <w:b/>
          <w:i w:val="0"/>
        </w:rPr>
        <w:t>Điều 1. Bãi bỏ toàn bộ Quyết định</w:t>
      </w:r>
    </w:p>
    <w:p>
      <w:r>
        <w:rPr>
          <w:b w:val="0"/>
          <w:i w:val="0"/>
        </w:rPr>
        <w:t>Bãi bỏ toàn bộ Quyết định số 21/2009/QĐ-UBND ngày 17/9/2009 của Ủy ban nhân dân tỉnh về việc ban hành Quy định về cơ chế quản lý, đầu tư, bảo vệ, khoanh nuôi tái sinh và trồng rừng trên địa bàn tỉnh Lai Châu.</w:t>
      </w:r>
    </w:p>
    <w:p>
      <w:r>
        <w:rPr>
          <w:b/>
          <w:i w:val="0"/>
        </w:rPr>
        <w:t>Điều 2. Điều khoản thi hành</w:t>
      </w:r>
    </w:p>
    <w:p>
      <w:r>
        <w:rPr>
          <w:b w:val="0"/>
          <w:i w:val="0"/>
        </w:rPr>
        <w:t>Quyết định này có hiệu lực từ ngày 01 tháng 4 năm 2022.</w:t>
      </w:r>
    </w:p>
    <w:p>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val="0"/>
        </w:rPr>
        <w:t>(Đã ký)</w:t>
      </w:r>
      <w:r>
        <w:rPr>
          <w:b w:val="0"/>
          <w:i w:val="0"/>
        </w:rPr>
        <w:br/>
      </w:r>
      <w:r>
        <w:rPr>
          <w:b/>
          <w:i w:val="0"/>
        </w:rPr>
        <w:t>Hà Trọng Hải</w:t>
      </w:r>
      <w:r>
        <w:rPr>
          <w:b w:val="0"/>
          <w:i w:val="0"/>
        </w:rPr>
        <w:br/>
      </w:r>
      <w:r>
        <w:rPr>
          <w:b w:val="0"/>
          <w:i w:val="0"/>
        </w:rPr>
        <w:br/>
      </w:r>
    </w:p>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val="0"/>
        </w:rPr>
        <w:t>(Đã ký)</w:t>
      </w:r>
      <w:r>
        <w:rPr>
          <w:b w:val="0"/>
          <w:i w:val="0"/>
        </w:rPr>
        <w:br/>
      </w:r>
      <w:r>
        <w:rPr>
          <w:b/>
          <w:i w:val="0"/>
        </w:rPr>
        <w:t>Hà Trọng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