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07/2022/QĐ-UBND Ban hành Quy chế quản lý, vận hành và sử dụng hệ thống thư điện tử công vụ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w:t>
            </w:r>
            <w:r>
              <w:rPr>
                <w:b/>
                <w:i w:val="0"/>
              </w:rPr>
              <w:t>ĐẮK NÔNG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p>
        </w:tc>
      </w:tr>
    </w:tbl>
    <w:p>
      <w:r>
        <w:rPr>
          <w:b/>
          <w:i w:val="0"/>
        </w:rPr>
        <w:t>QUYẾT ĐỊNH</w:t>
      </w:r>
    </w:p>
    <w:p>
      <w:r>
        <w:rPr>
          <w:b/>
          <w:i w:val="0"/>
        </w:rPr>
        <w:t xml:space="preserve">Ban hành Quy chế quản lý, vận hành và sử dụng </w:t>
      </w:r>
      <w:r>
        <w:rPr>
          <w:b/>
          <w:i w:val="0"/>
        </w:rPr>
        <w:t>hệ thống thư điện tử công vụ tỉnh Đắk Nông</w:t>
      </w:r>
      <w:r>
        <w:rPr>
          <w:b w:val="0"/>
          <w:i w:val="0"/>
        </w:rPr>
        <w:t xml:space="preserve">  </w:t>
      </w:r>
    </w:p>
    <w:p>
      <w:r>
        <w:rPr>
          <w:b/>
          <w:i w:val="0"/>
        </w:rPr>
        <w:t>ỦY BAN NHÂN DÂN TỈNH ĐẮK NÔNG</w:t>
      </w:r>
    </w:p>
    <w:p>
      <w:pPr>
        <w:jc w:val="both"/>
      </w:pP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Giao dịch điện tử ngày 29 tháng 11 năm 2005;</w:t>
      </w:r>
    </w:p>
    <w:p>
      <w:pPr>
        <w:jc w:val="both"/>
      </w:pPr>
      <w:r>
        <w:rPr>
          <w:b w:val="0"/>
          <w:i/>
        </w:rPr>
        <w:t>Căn cứ Luật Công nghệ thông tin ngày 29 tháng 6 năm 2006;</w:t>
      </w:r>
    </w:p>
    <w:p>
      <w:pPr>
        <w:jc w:val="both"/>
      </w:pPr>
      <w:r>
        <w:rPr>
          <w:b w:val="0"/>
          <w:i/>
        </w:rPr>
        <w:t xml:space="preserve">Căn cứ Luật An toàn thông tin mạng ngày 19 tháng 11 năm 2015; </w:t>
      </w:r>
    </w:p>
    <w:p>
      <w:pPr>
        <w:jc w:val="both"/>
      </w:pPr>
      <w:r>
        <w:rPr>
          <w:b w:val="0"/>
          <w:i/>
        </w:rPr>
        <w:t>Căn cứ Luật An ninh mạng ngày 12 tháng 6 năm 2018;</w:t>
      </w:r>
    </w:p>
    <w:p>
      <w:pPr>
        <w:jc w:val="both"/>
      </w:pPr>
      <w:r>
        <w:rPr>
          <w:b w:val="0"/>
          <w:i/>
        </w:rPr>
        <w:t>Thực hiện Quyết định số 217-QĐ/TW ngày 02 tháng 01 năm 2020 của Ban Chấp hành Trung ương Đảng ban hành Quy định gửi nhận văn bản điện tử trên môi trường mạng diện rộng của Đảng và trên mạng Internet;</w:t>
      </w:r>
    </w:p>
    <w:p>
      <w:pPr>
        <w:jc w:val="both"/>
      </w:pPr>
      <w:r>
        <w:rPr>
          <w:b w:val="0"/>
          <w:i/>
        </w:rPr>
        <w:t xml:space="preserve">Căn cứ Nghị định số 64/2007/NĐ-CP ngày 10 tháng 4 năm 2007 của Chính phủ ứng dụng công nghệ thông tin trong hoạt động của cơ quan nhà nước; </w:t>
      </w:r>
    </w:p>
    <w:p>
      <w:pPr>
        <w:jc w:val="both"/>
      </w:pPr>
      <w:r>
        <w:rPr>
          <w:b w:val="0"/>
          <w:i/>
        </w:rPr>
        <w:t>Căn cứ Nghị định số 72/2013/NĐ-CP ngày 15 tháng 7 năm 2013 của Chính phủ quản lý, cung cấp, sử dụng dịch vụ Internet và thông tin trên mạng;</w:t>
      </w:r>
    </w:p>
    <w:p>
      <w:pPr>
        <w:jc w:val="both"/>
      </w:pPr>
      <w:r>
        <w:rPr>
          <w:b w:val="0"/>
          <w:i/>
        </w:rPr>
        <w:t>Căn cứ Nghị định số 27/2018/NĐ-CP ngày 01 tháng 3 năm 2018 của Chính phủ sửa đổi, bổ sung một số điều của Nghị định số 72/2013/NĐ-CP ngày 15 tháng 7 năm 2013 về quản lý, cung cấp, sử dụng dịch vụ Internet và thông tin trên mạng;</w:t>
      </w:r>
    </w:p>
    <w:p>
      <w:pPr>
        <w:jc w:val="both"/>
      </w:pPr>
      <w:r>
        <w:rPr>
          <w:b w:val="0"/>
          <w:i/>
        </w:rPr>
        <w:t>Căn cứ Nghị định số 91/2020/NĐ-CP ngày 14 tháng 8 năm 2020 của Chính phủ chống tin nhắn rác, thư điện tử rác, cuộc gọi rác;</w:t>
      </w:r>
    </w:p>
    <w:p>
      <w:pPr>
        <w:jc w:val="both"/>
      </w:pPr>
      <w:r>
        <w:rPr>
          <w:b w:val="0"/>
          <w:i/>
        </w:rPr>
        <w:t>Căn cứ Chỉ thị số 34/2008/CT-TTg ngày 03 tháng 12 năm 2008 của Thủ tướng Chính phủ về việc tăng cường sử dụng hệ thống thư điện tử trong hoạt động của cơ quan nhà nước;</w:t>
      </w:r>
    </w:p>
    <w:p>
      <w:pPr>
        <w:jc w:val="both"/>
      </w:pPr>
      <w:r>
        <w:rPr>
          <w:b w:val="0"/>
          <w:i/>
        </w:rPr>
        <w:t xml:space="preserve">Căn cứ </w:t>
      </w:r>
      <w:r>
        <w:rPr>
          <w:b w:val="0"/>
          <w:i/>
        </w:rPr>
        <w:t>Thông tư số 39/2017/TT-BTTTT ngày 15/12/2017 của Bộ trưởng Bộ Thông tin và Truyền thông ban hành Danh mục tiêu chuẩn kỹ thuật về ứng dụng công nghệ thông tin trong cơ quan nhà nước</w:t>
      </w:r>
      <w:r>
        <w:rPr>
          <w:b w:val="0"/>
          <w:i/>
        </w:rPr>
        <w:t>;</w:t>
      </w:r>
    </w:p>
    <w:p>
      <w:pPr>
        <w:jc w:val="both"/>
      </w:pPr>
      <w:r>
        <w:rPr>
          <w:b w:val="0"/>
          <w:i/>
        </w:rPr>
        <w:t>Căn cứ Thông tư số 22/2021/TT-BTTTT ngày 13/12/2021 của Bộ Thông tin và Truyền thông quy định chi tiết một số điều của Nghị định số 91/2020/ND-CP ngày 14/12/2020 của Chính phủ về chống tin nhắn rác, thư điện tử rác, cuộc gọi rác;</w:t>
      </w:r>
    </w:p>
    <w:p>
      <w:pPr>
        <w:jc w:val="both"/>
      </w:pPr>
      <w:r>
        <w:rPr>
          <w:b w:val="0"/>
          <w:i/>
        </w:rPr>
        <w:t xml:space="preserve">Theo đề nghị của Giám đốc Sở Thông tin và Truyền thông tại Tờ trình số </w:t>
      </w:r>
      <w:r>
        <w:rPr>
          <w:b w:val="0"/>
          <w:i/>
        </w:rPr>
        <w:t>63</w:t>
      </w:r>
      <w:r>
        <w:rPr>
          <w:b w:val="0"/>
          <w:i/>
        </w:rPr>
        <w:t xml:space="preserve">/TTr-STTTT ngày </w:t>
      </w:r>
      <w:r>
        <w:rPr>
          <w:b w:val="0"/>
          <w:i/>
        </w:rPr>
        <w:t>11</w:t>
      </w:r>
      <w:r>
        <w:rPr>
          <w:b w:val="0"/>
          <w:i/>
        </w:rPr>
        <w:t xml:space="preserve"> tháng </w:t>
      </w:r>
      <w:r>
        <w:rPr>
          <w:b w:val="0"/>
          <w:i/>
        </w:rPr>
        <w:t>10</w:t>
      </w:r>
      <w:r>
        <w:rPr>
          <w:b w:val="0"/>
          <w:i/>
        </w:rPr>
        <w:t xml:space="preserve"> năm 2021; </w:t>
      </w:r>
      <w:r>
        <w:rPr>
          <w:b w:val="0"/>
          <w:i/>
        </w:rPr>
        <w:t>Tờ trình số 94/TTr-STTTT ngày 28 tháng 12 năm 2021; Tờ trình số 07/TTr-STTTT ngày 25/01/2022.</w:t>
      </w:r>
    </w:p>
    <w:p>
      <w:r>
        <w:rPr>
          <w:b/>
          <w:i w:val="0"/>
        </w:rPr>
        <w:t>QUYẾT ĐỊNH:</w:t>
      </w:r>
    </w:p>
    <w:p>
      <w:r>
        <w:rPr>
          <w:b/>
          <w:i w:val="0"/>
        </w:rPr>
        <w:t xml:space="preserve">Điều 1. </w:t>
      </w:r>
      <w:r>
        <w:rPr>
          <w:b w:val="0"/>
          <w:i w:val="0"/>
        </w:rPr>
        <w:t>Ban hành kèm theo Quyết định này Quy chế quản lý, vận hành và sử dụng Hệ thống thư điện tử công vụ tỉnh Đắk Nông.</w:t>
      </w:r>
    </w:p>
    <w:p>
      <w:r>
        <w:rPr>
          <w:b/>
          <w:i w:val="0"/>
        </w:rPr>
        <w:t>Điều 2. Hiệu lực thi hành</w:t>
      </w:r>
    </w:p>
    <w:p>
      <w:r>
        <w:rPr>
          <w:b w:val="0"/>
          <w:i w:val="0"/>
        </w:rPr>
        <w:t>Quyết định này có hiệu lực thi hành kể từ ngày 10 tháng 02 năm 2022 và thay thế Quyết định số 12/2012/QĐ-UBND ngày 17 tháng 8 năm 2012 của Ủy ban nhân dân tỉnh Đắk Nông về việc ban hành Quy chế quản lý, sử dụng Hệ thống thư điện tử trong hoạt động của các cơ quan nhà nước trên địa bàn tỉnh Đắk Nông.</w:t>
      </w:r>
    </w:p>
    <w:p>
      <w:r>
        <w:rPr>
          <w:b/>
          <w:i w:val="0"/>
        </w:rPr>
        <w:t>Điều 3. Tổ chức thực hiện</w:t>
      </w:r>
    </w:p>
    <w:p>
      <w:r>
        <w:rPr>
          <w:b w:val="0"/>
          <w:i w:val="0"/>
        </w:rPr>
        <w:t>Chánh Văn phòng Ủy ban nhân dân tỉnh; Chánh Văn phòng Đoàn đại biểu Quốc hội và Hội đồng nhân dân tỉnh; Giám đốc Sở Thông tin và Truyền thông; Thủ trưởng các cơ quan Đảng, Đoàn thể, các tổ chức chính trị xã hội, các Huyện ủy, Thành ủy; Thủ trưởng các Sở, Ban, ngành trong tỉnh; Chủ tịch Ủy ban nhân dân các huyện, thành phố; Chủ tịch Ủy ban nhân dân các xã, phường, thị trấn; các Thủ trưởng Công ty, Doanh nghiệp trực thuộc Ủy ban nhân dân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rPr>
                <w:b w:val="0"/>
                <w:i w:val="0"/>
              </w:rPr>
              <w:br/>
            </w:r>
            <w:r>
              <w:rPr>
                <w:b w:val="0"/>
                <w:i w:val="0"/>
              </w:rPr>
              <w:t>- Văn phòng Chính phủ (b/c);</w:t>
            </w:r>
            <w:r>
              <w:br/>
            </w:r>
            <w:r>
              <w:rPr>
                <w:b w:val="0"/>
                <w:i w:val="0"/>
              </w:rPr>
              <w:br/>
              <w:t xml:space="preserve">        - Bộ Thông tin và Truyền thông (b/c);</w:t>
            </w:r>
            <w:r>
              <w:br/>
            </w:r>
            <w:r>
              <w:rPr>
                <w:b w:val="0"/>
                <w:i w:val="0"/>
              </w:rPr>
              <w:br/>
              <w:t xml:space="preserve">        - Cục Kiểm tra văn bản QPPL-Bộ Tư pháp (b/c);</w:t>
            </w:r>
            <w:r>
              <w:br/>
            </w:r>
            <w:r>
              <w:rPr>
                <w:b w:val="0"/>
                <w:i w:val="0"/>
              </w:rPr>
              <w:br/>
              <w:t xml:space="preserve">        - Thường trực Tỉnh ủy (b/c);</w:t>
            </w:r>
            <w:r>
              <w:br/>
            </w:r>
            <w:r>
              <w:rPr>
                <w:b w:val="0"/>
                <w:i w:val="0"/>
              </w:rPr>
              <w:br/>
              <w:t xml:space="preserve">        - Thường trực HĐND tỉnh (b/c);</w:t>
            </w:r>
            <w:r>
              <w:br/>
            </w:r>
            <w:r>
              <w:rPr>
                <w:b w:val="0"/>
                <w:i w:val="0"/>
              </w:rPr>
              <w:br/>
              <w:t xml:space="preserve">        - Đoàn Đại biểu Quốc hội tỉnh;</w:t>
            </w:r>
            <w:r>
              <w:rPr>
                <w:b w:val="0"/>
                <w:i w:val="0"/>
              </w:rPr>
              <w:br/>
            </w:r>
            <w:r>
              <w:rPr>
                <w:b w:val="0"/>
                <w:i w:val="0"/>
              </w:rPr>
              <w:t>- Mặt trận Tổ quốc Việt Nam tỉnh;</w:t>
            </w:r>
            <w:r>
              <w:br/>
            </w:r>
            <w:r>
              <w:rPr>
                <w:b w:val="0"/>
                <w:i w:val="0"/>
              </w:rPr>
              <w:br/>
              <w:t xml:space="preserve">        - Văn phòng Tỉnh ủy;</w:t>
            </w:r>
            <w:r>
              <w:rPr>
                <w:b w:val="0"/>
                <w:i w:val="0"/>
              </w:rPr>
              <w:br/>
            </w:r>
            <w:r>
              <w:rPr>
                <w:b w:val="0"/>
                <w:i w:val="0"/>
              </w:rPr>
              <w:t>- Chủ tịch, các Phó Chủ tịch UBND tỉnh;</w:t>
            </w:r>
            <w:r>
              <w:rPr>
                <w:b w:val="0"/>
                <w:i w:val="0"/>
              </w:rPr>
              <w:br/>
            </w:r>
            <w:r>
              <w:rPr>
                <w:b w:val="0"/>
                <w:i w:val="0"/>
              </w:rPr>
              <w:t>- CVP, CPCVP UBND tỉnh;</w:t>
            </w:r>
            <w:r>
              <w:rPr>
                <w:b w:val="0"/>
                <w:i w:val="0"/>
              </w:rPr>
              <w:br/>
            </w:r>
            <w:r>
              <w:rPr>
                <w:b w:val="0"/>
                <w:i w:val="0"/>
              </w:rPr>
              <w:t>- Trường Chính trị tỉnh;</w:t>
            </w:r>
            <w:r>
              <w:rPr>
                <w:b w:val="0"/>
                <w:i w:val="0"/>
              </w:rPr>
              <w:br/>
            </w:r>
            <w:r>
              <w:rPr>
                <w:b w:val="0"/>
                <w:i w:val="0"/>
              </w:rPr>
              <w:t>- Báo Đắk Nông, Đài PTTH tỉnh;</w:t>
            </w:r>
            <w:r>
              <w:br/>
            </w:r>
            <w:r>
              <w:rPr>
                <w:b w:val="0"/>
                <w:i w:val="0"/>
              </w:rPr>
              <w:br/>
              <w:t xml:space="preserve">        - Công báo tỉnh; Cổng TTĐT tỉnh;</w:t>
            </w:r>
            <w:r>
              <w:rPr>
                <w:b w:val="0"/>
                <w:i w:val="0"/>
              </w:rPr>
              <w:br/>
            </w:r>
            <w:r>
              <w:rPr>
                <w:b w:val="0"/>
                <w:i w:val="0"/>
              </w:rPr>
              <w:t>- Trung tâm Lưu trữ - Sở Nội vụ;</w:t>
            </w:r>
            <w:r>
              <w:br/>
            </w:r>
            <w:r>
              <w:rPr>
                <w:b w:val="0"/>
                <w:i w:val="0"/>
              </w:rPr>
              <w:br/>
              <w:t xml:space="preserve">        - Lưu: VT,….</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i w:val="0"/>
              </w:rPr>
              <w:t>Hồ Văn Mười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