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 TC/TQD Hướng dẫn thi hành chỉ thị số 14/TTg ngày 16/01/1981 của Thủ tướng Chính phủ về việc ngân sách địa phương được hưởng khoản thu khuyến khích giao nộp sản phẩm lợn thịt, trâu bò thịt cho TW</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val="0"/>
          <w:i w:val="0"/>
        </w:rPr>
        <w:t>THÔNG TƯ</w:t>
      </w:r>
    </w:p>
    <w:p>
      <w:pPr>
        <w:jc w:val="center"/>
      </w:pPr>
      <w:r>
        <w:rPr>
          <w:b/>
          <w:i w:val="0"/>
        </w:rPr>
        <w:t>Hướng dẫn thi hành Chỉ thị số 14/TTg ngày 16/01/1981 của Thủ tướng Chính phủ về việc Ngân sách địa phương được hưởng khoản thu khuyến khích giao nộp sản phẩm lợn thịt, trâu bò thịt cho TW</w:t>
      </w:r>
    </w:p>
    <w:p>
      <w:pPr>
        <w:jc w:val="both"/>
      </w:pPr>
      <w:r>
        <w:rPr>
          <w:b w:val="0"/>
          <w:i w:val="0"/>
        </w:rPr>
        <w:t>Tại điểm 1 của chỉ thị số 14/TTg ngày 16/1/1981 của Thủ tướng Chính phủ đã quy định:</w:t>
      </w:r>
    </w:p>
    <w:p>
      <w:pPr>
        <w:jc w:val="both"/>
      </w:pPr>
      <w:r>
        <w:rPr>
          <w:b w:val="0"/>
          <w:i w:val="0"/>
        </w:rPr>
        <w:t>"... Thương nghiệp quốc doanh không phải nộp thuế sát sinh.</w:t>
      </w:r>
    </w:p>
    <w:p>
      <w:pPr>
        <w:jc w:val="both"/>
      </w:pPr>
      <w:r>
        <w:rPr>
          <w:b w:val="0"/>
          <w:i w:val="0"/>
        </w:rPr>
        <w:t>- Để khuyến khích các địa phương tích cực thu mua và giao nộp lợn thịt, trâu bò thịt cho Trung ương, Ngân sách địa phương được hưởng khoản thu khuyến khích giao nộp sản phẩm cho Trung ương bằng 10% tính theo giá chỉ đạo thu mua cho Nhà nước."</w:t>
      </w:r>
    </w:p>
    <w:p>
      <w:pPr>
        <w:jc w:val="both"/>
      </w:pPr>
      <w:r>
        <w:rPr>
          <w:b w:val="0"/>
          <w:i w:val="0"/>
        </w:rPr>
        <w:t>Bộ Tài chính hướng dẫn việc nộp khoản thu khuyến khích giao nộp sản phẩm cho Ngân sách địa phương như sau:</w:t>
      </w:r>
    </w:p>
    <w:p>
      <w:pPr>
        <w:jc w:val="both"/>
      </w:pPr>
      <w:r>
        <w:rPr>
          <w:b w:val="0"/>
          <w:i w:val="0"/>
        </w:rPr>
        <w:t>I. Cơ sở tính mức thu khuyến khích cho Ngân sách địa phương:</w:t>
      </w:r>
    </w:p>
    <w:p>
      <w:pPr>
        <w:jc w:val="both"/>
      </w:pPr>
      <w:r>
        <w:rPr>
          <w:b w:val="0"/>
          <w:i w:val="0"/>
        </w:rPr>
        <w:t>Hiện nay, các địa phương giao nộp lợn thịt, trâu bò thịt cho Trung ương với nhiều loại giá (giá chỉ đạo, giá mua theo hợp đồng hai chiều, giá thoả thuận...). Theo chỉ thị số 14/TTg quy định Ngân sách địa phương được thu 10% trên tổng số sản phẩm (cả sản phẩm theo giá cao) giao nộp cho Trung ương tính theo giá chỉ đạo thu mua của Nhà nước.</w:t>
      </w:r>
    </w:p>
    <w:p>
      <w:pPr>
        <w:jc w:val="both"/>
      </w:pPr>
      <w:r>
        <w:rPr>
          <w:b w:val="0"/>
          <w:i w:val="0"/>
        </w:rPr>
        <w:t>Ví dụ: Tính K giao nộp cho T.W 1.000 tấn lợn thịt trong đó có 300 tấn theo giá chỉ đạo bình quân 4.000 đ/tấn và 700 tấn giá thoả thuận 15.000 đ/tấn. Phần thu khuyến khích 10% cho Ngân sách địa phương được tính như sau:</w:t>
      </w:r>
    </w:p>
    <w:p>
      <w:pPr>
        <w:jc w:val="both"/>
      </w:pPr>
      <w:r>
        <w:rPr>
          <w:b w:val="0"/>
          <w:i w:val="0"/>
        </w:rPr>
        <w:t>Giá chỉ đạo là 4.000 đ/tấn lợn hơi</w:t>
      </w:r>
    </w:p>
    <w:p>
      <w:pPr>
        <w:jc w:val="both"/>
      </w:pPr>
      <w:r>
        <w:rPr>
          <w:b w:val="0"/>
          <w:i w:val="0"/>
        </w:rPr>
        <w:t>10% của 4.000 đ là 400 đ.</w:t>
      </w:r>
    </w:p>
    <w:p>
      <w:pPr>
        <w:jc w:val="both"/>
      </w:pPr>
      <w:r>
        <w:rPr>
          <w:b w:val="0"/>
          <w:i w:val="0"/>
        </w:rPr>
        <w:t>Tổng số thu khuyến khích địa phương được hưởng đối với thịt lợn hơi là 400đ x 1000 tấn = 400.000 đ. Đối với thịt trâu bò hơi cũng được tính tương tự như trên.</w:t>
      </w:r>
    </w:p>
    <w:p>
      <w:pPr>
        <w:jc w:val="both"/>
      </w:pPr>
      <w:r>
        <w:rPr>
          <w:b w:val="0"/>
          <w:i w:val="0"/>
        </w:rPr>
        <w:t>Công thức tính thu khuyến khích giao nộp sản phẩm lợn, trâu bò thịt:</w:t>
      </w:r>
    </w:p>
    <w:p>
      <w:pPr>
        <w:jc w:val="both"/>
      </w:pPr>
      <w:r>
        <w:rPr>
          <w:b w:val="0"/>
          <w:i w:val="0"/>
        </w:rPr>
        <w:t xml:space="preserve">Tổng số thu khuyến khích giao nộp sản phẩm=Khối lượng sản phẩm giao nộp TWxĐơn giá chỉ đạox10% </w:t>
      </w:r>
    </w:p>
    <w:p>
      <w:pPr>
        <w:jc w:val="both"/>
      </w:pPr>
      <w:r>
        <w:rPr>
          <w:b w:val="0"/>
          <w:i w:val="0"/>
        </w:rPr>
        <w:t>Để đơn giản tính toán nay quy định: mỗi tấn thịt lợn hơi (không phân cấp loại) giao cho Trung ương Ngân sách địa phương được hưởng khoản thu khuyến khích là 400đ và 1 tấn thịt trâu bò hơi, Ngân sách địa phương được hưởng khoản thu khuyến khích là 250đ.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Tổng số thu khuyến khích giao nộp sản phẩm</w:t>
            </w:r>
          </w:p>
        </w:tc>
        <w:tc>
          <w:tcPr>
            <w:tcW w:type="dxa" w:w="1234"/>
          </w:tcPr>
          <w:p>
            <w:r>
              <w:rPr>
                <w:b w:val="0"/>
                <w:i w:val="0"/>
              </w:rPr>
              <w:br/>
            </w:r>
            <w:r>
              <w:rPr>
                <w:b w:val="0"/>
                <w:i w:val="0"/>
              </w:rPr>
              <w:t>=</w:t>
            </w:r>
          </w:p>
        </w:tc>
        <w:tc>
          <w:tcPr>
            <w:tcW w:type="dxa" w:w="1234"/>
          </w:tcPr>
          <w:p>
            <w:r>
              <w:rPr>
                <w:b w:val="0"/>
                <w:i w:val="0"/>
              </w:rPr>
              <w:br/>
            </w:r>
            <w:r>
              <w:rPr>
                <w:b w:val="0"/>
                <w:i w:val="0"/>
              </w:rPr>
              <w:t>Khối lượng sản phẩm giao nộp TW</w:t>
            </w:r>
          </w:p>
        </w:tc>
        <w:tc>
          <w:tcPr>
            <w:tcW w:type="dxa" w:w="1234"/>
          </w:tcPr>
          <w:p>
            <w:r>
              <w:rPr>
                <w:b w:val="0"/>
                <w:i w:val="0"/>
              </w:rPr>
              <w:br/>
            </w:r>
            <w:r>
              <w:rPr>
                <w:b w:val="0"/>
                <w:i w:val="0"/>
              </w:rPr>
              <w:t>x</w:t>
            </w:r>
          </w:p>
        </w:tc>
        <w:tc>
          <w:tcPr>
            <w:tcW w:type="dxa" w:w="1234"/>
          </w:tcPr>
          <w:p>
            <w:r>
              <w:rPr>
                <w:b w:val="0"/>
                <w:i w:val="0"/>
              </w:rPr>
              <w:br/>
            </w:r>
            <w:r>
              <w:rPr>
                <w:b w:val="0"/>
                <w:i w:val="0"/>
              </w:rPr>
              <w:t>Đơn giá chỉ đạo</w:t>
            </w:r>
          </w:p>
        </w:tc>
        <w:tc>
          <w:tcPr>
            <w:tcW w:type="dxa" w:w="1234"/>
          </w:tcPr>
          <w:p>
            <w:r>
              <w:rPr>
                <w:b w:val="0"/>
                <w:i w:val="0"/>
              </w:rPr>
              <w:br/>
            </w:r>
            <w:r>
              <w:rPr>
                <w:b w:val="0"/>
                <w:i w:val="0"/>
              </w:rPr>
              <w:t>x</w:t>
            </w:r>
          </w:p>
        </w:tc>
        <w:tc>
          <w:tcPr>
            <w:tcW w:type="dxa" w:w="1234"/>
          </w:tcPr>
          <w:p>
            <w:r>
              <w:rPr>
                <w:b w:val="0"/>
                <w:i w:val="0"/>
              </w:rPr>
              <w:br/>
            </w:r>
            <w:r>
              <w:rPr>
                <w:b w:val="0"/>
                <w:i w:val="0"/>
              </w:rPr>
              <w:t>10%</w:t>
            </w:r>
            <w:r>
              <w:rPr>
                <w:b w:val="0"/>
                <w:i w:val="0"/>
              </w:rPr>
              <w:br/>
            </w:r>
            <w:r>
              <w:rPr>
                <w:b w:val="0"/>
                <w:i w:val="0"/>
              </w:rPr>
              <w:t xml:space="preserve"> </w:t>
            </w:r>
          </w:p>
        </w:tc>
      </w:tr>
    </w:tbl>
    <w:p>
      <w:pPr>
        <w:jc w:val="both"/>
      </w:pPr>
      <w:r>
        <w:rPr>
          <w:b w:val="0"/>
          <w:i w:val="0"/>
        </w:rPr>
        <w:t>II. Đối tượng nộp khoản thu khuyến khích cho NSĐP:</w:t>
      </w:r>
    </w:p>
    <w:p>
      <w:pPr>
        <w:jc w:val="both"/>
      </w:pPr>
      <w:r>
        <w:rPr>
          <w:b w:val="0"/>
          <w:i w:val="0"/>
        </w:rPr>
        <w:t>a) Các tổ chức kinh tế quốc doanh Trung ương: Các Công ty thu mua cấp I thuộc Bộ Nội thương, Ngoại thương khi mua lợn thịt, trâu bò thịt của các địa phương đều phải nộp khoản thu khuyến khích 10% tính trên giá chỉ đạo thu mua cho Ngân sách địa phương nơi có sản phẩm giao nộp.</w:t>
      </w:r>
    </w:p>
    <w:p>
      <w:pPr>
        <w:jc w:val="both"/>
      </w:pPr>
      <w:r>
        <w:rPr>
          <w:b w:val="0"/>
          <w:i w:val="0"/>
        </w:rPr>
        <w:t>Phân biệt hai trường hợp sau:</w:t>
      </w:r>
    </w:p>
    <w:p>
      <w:pPr>
        <w:jc w:val="both"/>
      </w:pPr>
      <w:r>
        <w:rPr>
          <w:b w:val="0"/>
          <w:i w:val="0"/>
        </w:rPr>
        <w:t>- Trường hợp các tổ chức kinh tế Trung ương trực tiếp thu mua của đơn vị, người sản xuất (nông trường quốc doanh địa phương, hợp tác xã và người nông dân) thì các tổ chức kinh tế Trung ương phải trực tiếp nộp khoản thu khuyến khích cho Ngân sách địa phương khi thanh toán tiền thu mua cho đơn vị, người sản xuất. Ngân hàng Nhà nước căn cứ vào giấy nộp tiền và trích tài khoản tiền gửi của tổ chức kinh tế Trung ương nộp khoản thu khuyến khích giao nộp sản phẩm cho Ngân sách địa phương.</w:t>
      </w:r>
    </w:p>
    <w:p>
      <w:pPr>
        <w:jc w:val="both"/>
      </w:pPr>
      <w:r>
        <w:rPr>
          <w:b w:val="0"/>
          <w:i w:val="0"/>
        </w:rPr>
        <w:t>- Trường hợp các tổ chức kinh tế Trung ương thu mua sản phẩm thông qua tổ chức thu mua của địa phương (Công ty thu mua cấp II) thì tổ chức thu mua của địa phương phải nộp khoản thu khuyến khích giao nộp sản phẩm cho Ngân sách địa phương khi thu được tiền bán hàng của tổ chức kinh tế Trung ương theo giá giao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tổ chức thu mua địa phương giao cho T.W</w:t>
            </w:r>
          </w:p>
        </w:tc>
        <w:tc>
          <w:tcPr>
            <w:tcW w:type="dxa" w:w="1234"/>
          </w:tcPr>
          <w:p>
            <w:r>
              <w:rPr>
                <w:b w:val="0"/>
                <w:i w:val="0"/>
              </w:rPr>
              <w:br/>
            </w:r>
            <w:r>
              <w:rPr>
                <w:b w:val="0"/>
                <w:i w:val="0"/>
              </w:rPr>
              <w:t>=</w:t>
            </w:r>
          </w:p>
        </w:tc>
        <w:tc>
          <w:tcPr>
            <w:tcW w:type="dxa" w:w="1234"/>
          </w:tcPr>
          <w:p>
            <w:r>
              <w:rPr>
                <w:b w:val="0"/>
                <w:i w:val="0"/>
              </w:rPr>
              <w:br/>
            </w:r>
            <w:r>
              <w:rPr>
                <w:b w:val="0"/>
                <w:i w:val="0"/>
              </w:rPr>
              <w:t>Giá thu mua</w:t>
            </w:r>
          </w:p>
        </w:tc>
        <w:tc>
          <w:tcPr>
            <w:tcW w:type="dxa" w:w="1234"/>
          </w:tcPr>
          <w:p>
            <w:r>
              <w:rPr>
                <w:b w:val="0"/>
                <w:i w:val="0"/>
              </w:rPr>
              <w:br/>
            </w:r>
            <w:r>
              <w:rPr>
                <w:b w:val="0"/>
                <w:i w:val="0"/>
              </w:rPr>
              <w:t>+</w:t>
            </w:r>
          </w:p>
        </w:tc>
        <w:tc>
          <w:tcPr>
            <w:tcW w:type="dxa" w:w="1234"/>
          </w:tcPr>
          <w:p>
            <w:r>
              <w:rPr>
                <w:b w:val="0"/>
                <w:i w:val="0"/>
              </w:rPr>
              <w:br/>
            </w:r>
            <w:r>
              <w:rPr>
                <w:b w:val="0"/>
                <w:i w:val="0"/>
              </w:rPr>
              <w:t>Thặng số TN cấp II</w:t>
            </w:r>
          </w:p>
        </w:tc>
        <w:tc>
          <w:tcPr>
            <w:tcW w:type="dxa" w:w="1234"/>
          </w:tcPr>
          <w:p>
            <w:r>
              <w:rPr>
                <w:b w:val="0"/>
                <w:i w:val="0"/>
              </w:rPr>
              <w:br/>
            </w:r>
            <w:r>
              <w:rPr>
                <w:b w:val="0"/>
                <w:i w:val="0"/>
              </w:rPr>
              <w:t>+</w:t>
            </w:r>
          </w:p>
        </w:tc>
        <w:tc>
          <w:tcPr>
            <w:tcW w:type="dxa" w:w="1234"/>
          </w:tcPr>
          <w:p>
            <w:r>
              <w:rPr>
                <w:b w:val="0"/>
                <w:i w:val="0"/>
              </w:rPr>
              <w:br/>
            </w:r>
            <w:r>
              <w:rPr>
                <w:b w:val="0"/>
                <w:i w:val="0"/>
              </w:rPr>
              <w:t>Khoản thu khuyến khích giao nộp sản phẩm</w:t>
            </w:r>
          </w:p>
        </w:tc>
      </w:tr>
    </w:tbl>
    <w:p>
      <w:pPr>
        <w:jc w:val="both"/>
      </w:pPr>
      <w:r>
        <w:rPr>
          <w:b w:val="0"/>
          <w:i w:val="0"/>
        </w:rPr>
        <w:t>Ví dụ: Trường hợp mua theo giá chỉ đạo:</w:t>
      </w:r>
    </w:p>
    <w:p>
      <w:pPr>
        <w:jc w:val="both"/>
      </w:pPr>
      <w:r>
        <w:rPr>
          <w:b w:val="0"/>
          <w:i w:val="0"/>
        </w:rPr>
        <w:t>4.000đ + 640đ (16% thặng số) + 400đ = 5.040đ/tấn</w:t>
      </w:r>
    </w:p>
    <w:p>
      <w:pPr>
        <w:jc w:val="both"/>
      </w:pPr>
      <w:r>
        <w:rPr>
          <w:b w:val="0"/>
          <w:i w:val="0"/>
        </w:rPr>
        <w:t>Trường hợp mua theo giá thoả thuận:</w:t>
      </w:r>
    </w:p>
    <w:p>
      <w:pPr>
        <w:jc w:val="both"/>
      </w:pPr>
      <w:r>
        <w:rPr>
          <w:b w:val="0"/>
          <w:i w:val="0"/>
        </w:rPr>
        <w:t>15.000đ + 700đ + 400đ = 16.100 đ/tấn</w:t>
      </w:r>
    </w:p>
    <w:p>
      <w:pPr>
        <w:jc w:val="both"/>
      </w:pPr>
      <w:r>
        <w:rPr>
          <w:b w:val="0"/>
          <w:i w:val="0"/>
        </w:rPr>
        <w:t>(700 đ là thặng số 16% tính trên giá chỉ đạo và các khoản phải chi thêm).</w:t>
      </w:r>
    </w:p>
    <w:p>
      <w:pPr>
        <w:jc w:val="both"/>
      </w:pPr>
      <w:r>
        <w:rPr>
          <w:b w:val="0"/>
          <w:i w:val="0"/>
        </w:rPr>
        <w:t>b) Các địa phương (tỉnh, thành phố) tiêu thụ, tổ chức nhận trực tiếp lợn, trâu bò thịt của địa phương sản xuất theo kế hoạch phân phối của Bộ Nội thương cũng phải thanh toán khoản 10% tính trên giá chỉ đạo thu mua cho ngân sách tỉnh, thành phố sản xuất và áp dụng như điểm a nêu trên.</w:t>
      </w:r>
    </w:p>
    <w:p>
      <w:pPr>
        <w:jc w:val="both"/>
      </w:pPr>
      <w:r>
        <w:rPr>
          <w:b w:val="0"/>
          <w:i w:val="0"/>
        </w:rPr>
        <w:t>c) Trường hợp các đơn vị bộ đội chủ lực lưu động thuộc lực lượng vũ trang nhân dân, nhận lợn, trâu bò thịt trực tiếp của các địa phương sản xuất theo giá chỉ đạo, theo kế hoạch phân phối của Bộ Nội thương (trong chỉ tiêu giao T.W theo giá chỉ đạo) thì các Ty Tài chính căn cứ vào những chứng từ mà các Công ty thương nghiệp đã phân phối lợn thịt, trâu bò thịt cho quân đội và có sự xác nhận của đơn vị quân đội đã nhận đủ số lượng, gửi đến Bộ Tài chính, Bộ Tài chính sẽ chuyển cấp khoản thu khuyến khích 10% cho Ngân sách địa phương.</w:t>
      </w:r>
    </w:p>
    <w:p>
      <w:pPr>
        <w:jc w:val="both"/>
      </w:pPr>
      <w:r>
        <w:rPr>
          <w:b w:val="0"/>
          <w:i w:val="0"/>
        </w:rPr>
        <w:t>d) Các cơ sở quốc doanh Trung ương như nông trường quốc doanh Trung ương, trại chăn nuôi Trung ương, vv... khi giao nộp sản phẩm cho Trung ương (lợn thịt, trâu bò thịt) không phải nộp khoản thu khuyến khích 10%.</w:t>
      </w:r>
    </w:p>
    <w:p>
      <w:pPr>
        <w:jc w:val="both"/>
      </w:pPr>
      <w:r>
        <w:rPr>
          <w:b w:val="0"/>
          <w:i w:val="0"/>
        </w:rPr>
        <w:t>e) Các cơ quan, xí nghiệp, trường học v.v... giết lợn, trâu bò để cải thiện cho cán bộ công nhân viên, các hợp tác xã của bản xã kinh doanh thịt lợn, trâu bò đều phải nộp thuế sát sinh theo thông tư số 03-TC/CTN ngày 16/2/1981 của Bộ Tài chính.</w:t>
      </w:r>
    </w:p>
    <w:p>
      <w:pPr>
        <w:jc w:val="both"/>
      </w:pPr>
      <w:r>
        <w:rPr>
          <w:b w:val="0"/>
          <w:i w:val="0"/>
        </w:rPr>
        <w:t>Tất cả các đơn vị quốc doanh nêu ở điểm a,b,c trên đây đều phải nộp khoản thu khuyến khích vào khoản 75 hạng 1 "Thu khuyến khích địa phương giao nộp súc vật cho Trung ương".</w:t>
      </w:r>
    </w:p>
    <w:p>
      <w:pPr>
        <w:jc w:val="both"/>
      </w:pPr>
      <w:r>
        <w:rPr>
          <w:b w:val="0"/>
          <w:i w:val="0"/>
        </w:rPr>
        <w:t>Để khuyến khích các huyện, xã làm tốt nghĩa vụ giao nộp sản phẩm cho Trung ương, Ngân sách tỉnh, thành phố được trích một phần số thu khuyến khích này cho ngân sách huyện, xã có lợn thịt, trâu bò thịt giao cho Trung ương. Tỷ lệ trích do UBND tỉnh, thành phố quy định.</w:t>
      </w:r>
    </w:p>
    <w:p>
      <w:pPr>
        <w:jc w:val="both"/>
      </w:pPr>
      <w:r>
        <w:rPr>
          <w:b w:val="0"/>
          <w:i w:val="0"/>
        </w:rPr>
        <w:t>Thông tư này thi hành từ 01/06/1981.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rPr>
              <w:t>(Đã ký)</w:t>
            </w:r>
            <w:r>
              <w:rPr>
                <w:b w:val="0"/>
                <w:i w:val="0"/>
              </w:rPr>
              <w:br/>
            </w:r>
            <w:r>
              <w:rPr>
                <w:b w:val="0"/>
                <w:i w:val="0"/>
              </w:rPr>
              <w:t xml:space="preserve"> </w:t>
            </w:r>
            <w:r>
              <w:rPr>
                <w:b w:val="0"/>
                <w:i w:val="0"/>
              </w:rPr>
              <w:br/>
            </w:r>
            <w:r>
              <w:rPr>
                <w:b w:val="0"/>
                <w:i w:val="0"/>
              </w:rPr>
              <w:t>Dương Văn Dật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