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08-UB/CT về việc giải quyết các chế độ và lương thực cho giáo viên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pPr>
        <w:jc w:val="center"/>
      </w:pPr>
      <w:r>
        <w:rPr>
          <w:b/>
          <w:i w:val="0"/>
        </w:rPr>
        <w:t>CHỈ THỊ</w:t>
      </w:r>
    </w:p>
    <w:p>
      <w:pPr>
        <w:jc w:val="center"/>
      </w:pPr>
      <w:r>
        <w:rPr>
          <w:b/>
          <w:i w:val="0"/>
        </w:rPr>
        <w:t>Về việc giải quyết các chế độ và lương thực cho giáo viên</w:t>
      </w:r>
    </w:p>
    <w:p>
      <w:r>
        <w:rPr>
          <w:b w:val="0"/>
          <w:i w:val="0"/>
        </w:rPr>
        <w:t>Theo tinh thần Công điện ngày 11 tháng 01 năm 1979 của Thủ Tướng giải quyết đời sống cho giáo viên ở nông thôn, kể cả giáo viên Mẫu giáo, nhằm tạo điều kiện tốt cho giáo viên làm tròn trách nhiệm của mình trong việc đào tạo thế hệ trẻ.</w:t>
      </w:r>
    </w:p>
    <w:p>
      <w:r>
        <w:rPr>
          <w:b w:val="0"/>
          <w:i w:val="0"/>
        </w:rPr>
        <w:t>Nay Uỷ Ban Nhân dân Tỉnh Bến Tre chỉ thị:</w:t>
      </w:r>
    </w:p>
    <w:p>
      <w:r>
        <w:rPr>
          <w:b w:val="0"/>
          <w:i w:val="0"/>
        </w:rPr>
        <w:t>1. Các cấp chánh quyền và các ngành có liên quan phải đảm bảo thi hành đầy đủ các chế độ về tiền lương, chế độ phụ cấp (kể cả chế độ bán lương thực cho gia đình giáo viên và giáo viên Mẫu giáo ở nông thôn) như cán bộ và nhân viên Nhà nước.</w:t>
      </w:r>
    </w:p>
    <w:p>
      <w:r>
        <w:rPr>
          <w:b w:val="0"/>
          <w:i w:val="0"/>
        </w:rPr>
        <w:t xml:space="preserve">Bán lương thực cho con giáo viên ở nông thôn, bắt đầu thi hành từ tháng </w:t>
      </w:r>
    </w:p>
    <w:p>
      <w:r>
        <w:rPr>
          <w:b w:val="0"/>
          <w:i w:val="0"/>
        </w:rPr>
        <w:t xml:space="preserve">Giải quyết đầy đủ các chế độ phụ cấp khác. </w:t>
      </w:r>
      <w:r>
        <w:rPr>
          <w:b w:val="0"/>
          <w:i w:val="0"/>
        </w:rPr>
        <w:t>Kể cả phụ cấp dạy thêm</w:t>
      </w:r>
      <w:r>
        <w:rPr>
          <w:b w:val="0"/>
          <w:i w:val="0"/>
        </w:rPr>
        <w:t xml:space="preserve"> </w:t>
      </w:r>
      <w:r>
        <w:rPr>
          <w:b w:val="0"/>
          <w:i w:val="0"/>
        </w:rPr>
        <w:t>giờ</w:t>
      </w:r>
      <w:r>
        <w:rPr>
          <w:b w:val="0"/>
          <w:i w:val="0"/>
        </w:rPr>
        <w:t xml:space="preserve"> được trả tiền theo quy định của Nhà nước.</w:t>
      </w:r>
    </w:p>
    <w:p>
      <w:r>
        <w:rPr>
          <w:b w:val="0"/>
          <w:i w:val="0"/>
        </w:rPr>
        <w:t>2. Đối với các Giáo viên gặp khó khăn về đời sống không đảm bảo hoàn thành công tác, Ban cứu tế và Công đoàn cần nắm chắc tình hình và kịp thời giải quyết trợ cấp khó khăn hoặc cứu tế.</w:t>
      </w:r>
    </w:p>
    <w:p>
      <w:r>
        <w:rPr>
          <w:b w:val="0"/>
          <w:i w:val="0"/>
        </w:rPr>
        <w:t>3. Ty Tài chánh, Ty Lương thực, Ty Giáo dục, Ty Lao động, Ban tổ chức Chánh quyền cần có kế hoạch hướng dẫn cụ thể để đảm bảo thi hành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 BẾN TRE</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