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08/2008/QĐ-UBND V/v quy định diện tích đất tối thiểu được phép tách </w:t>
        <w:br/>
        <w:t>thửa đối với các loại đất trên địa bàn tỉnh Lâm Đồng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08/2008/QĐ-UBND</w:t>
      </w:r>
      <w:r>
        <w:rPr>
          <w:b w:val="0"/>
          <w:i w:val="0"/>
        </w:rPr>
        <w:br/>
      </w:r>
      <w:r>
        <w:rPr>
          <w:b w:val="0"/>
          <w:i w:val="0"/>
        </w:rPr>
        <w:br/>
      </w:r>
      <w:r>
        <w:rPr>
          <w:b w:val="0"/>
          <w:i/>
        </w:rPr>
        <w:br/>
      </w:r>
      <w:r>
        <w:rPr>
          <w:b w:val="0"/>
          <w:i/>
        </w:rPr>
        <w:t>Đà Lạt</w:t>
      </w:r>
      <w:r>
        <w:rPr>
          <w:b w:val="0"/>
          <w:i/>
        </w:rPr>
        <w:t>, ngày 14 tháng 3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08/2008/QĐ-UBND</w:t>
      </w:r>
      <w:r>
        <w:rPr>
          <w:b w:val="0"/>
          <w:i w:val="0"/>
        </w:rPr>
        <w:br/>
      </w:r>
      <w:r>
        <w:rPr>
          <w:b w:val="0"/>
          <w:i w:val="0"/>
        </w:rPr>
        <w:br/>
      </w:r>
      <w:r>
        <w:rPr>
          <w:b w:val="0"/>
          <w:i/>
        </w:rPr>
        <w:br/>
      </w:r>
      <w:r>
        <w:rPr>
          <w:b w:val="0"/>
          <w:i/>
        </w:rPr>
        <w:t>Đà Lạt</w:t>
      </w:r>
      <w:r>
        <w:rPr>
          <w:b w:val="0"/>
          <w:i/>
        </w:rPr>
        <w:t>, ngày 14 tháng 3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08/2008/QĐ-UBND</w:t>
      </w:r>
      <w:r>
        <w:rPr>
          <w:b w:val="0"/>
          <w:i w:val="0"/>
        </w:rPr>
        <w:br/>
      </w:r>
      <w:r>
        <w:rPr>
          <w:b w:val="0"/>
          <w:i w:val="0"/>
        </w:rPr>
        <w:br/>
      </w:r>
      <w:r>
        <w:rPr>
          <w:b w:val="0"/>
          <w:i/>
        </w:rPr>
        <w:br/>
      </w:r>
      <w:r>
        <w:rPr>
          <w:b w:val="0"/>
          <w:i/>
        </w:rPr>
        <w:t>Đà Lạt</w:t>
      </w:r>
      <w:r>
        <w:rPr>
          <w:b w:val="0"/>
          <w:i/>
        </w:rPr>
        <w:t>, ngày 14 tháng 3 năm 2008</w:t>
      </w:r>
      <w:r>
        <w:rPr>
          <w:b w:val="0"/>
          <w:i/>
        </w:rPr>
        <w:br/>
      </w:r>
      <w:r>
        <w:rPr>
          <w:b w:val="0"/>
          <w:i w:val="0"/>
        </w:rPr>
        <w:br/>
      </w:r>
    </w:p>
    <w:p>
      <w:pPr>
        <w:jc w:val="center"/>
      </w:pPr>
      <w:r>
        <w:rPr>
          <w:b w:val="0"/>
          <w:i w:val="0"/>
        </w:rPr>
        <w:br/>
      </w:r>
      <w:r>
        <w:rPr>
          <w:b w:val="0"/>
          <w:i w:val="0"/>
        </w:rPr>
        <w:t>Số: 08/2008/QĐ-UBND</w:t>
      </w:r>
      <w:r>
        <w:rPr>
          <w:b w:val="0"/>
          <w:i w:val="0"/>
        </w:rPr>
        <w:br/>
      </w:r>
    </w:p>
    <w:p>
      <w:pPr>
        <w:jc w:val="center"/>
      </w:pPr>
      <w:r>
        <w:rPr>
          <w:b w:val="0"/>
          <w:i w:val="0"/>
        </w:rPr>
        <w:br/>
      </w:r>
      <w:r>
        <w:rPr>
          <w:b w:val="0"/>
          <w:i/>
        </w:rPr>
        <w:t>Đà Lạt</w:t>
      </w:r>
      <w:r>
        <w:rPr>
          <w:b w:val="0"/>
          <w:i w:val="0"/>
        </w:rPr>
        <w:t>, ngày 14 tháng 3 năm 2008</w:t>
      </w:r>
      <w:r>
        <w:rPr>
          <w:b w:val="0"/>
          <w:i w:val="0"/>
        </w:rPr>
        <w:br/>
      </w:r>
    </w:p>
    <w:p>
      <w:pPr>
        <w:jc w:val="center"/>
      </w:pPr>
      <w:r>
        <w:rPr>
          <w:b/>
          <w:i w:val="0"/>
        </w:rPr>
        <w:t>QUYẾT ĐỊNH</w:t>
      </w:r>
      <w:r>
        <w:br/>
      </w:r>
      <w:r>
        <w:rPr>
          <w:b/>
          <w:i w:val="0"/>
        </w:rPr>
        <w:t xml:space="preserve">V/v quy định diện tích đất tối thiểu được phép tách </w:t>
      </w:r>
      <w:r>
        <w:br/>
      </w:r>
      <w:r>
        <w:rPr>
          <w:b/>
          <w:i w:val="0"/>
        </w:rPr>
        <w:t>thửa đối với các loại đất trên địa bàn tỉnh Lâm Đồng</w:t>
      </w:r>
    </w:p>
    <w:p>
      <w:pPr>
        <w:jc w:val="center"/>
      </w:pPr>
      <w:r>
        <w:rPr>
          <w:b/>
          <w:i w:val="0"/>
        </w:rPr>
        <w:t>______________</w:t>
      </w:r>
    </w:p>
    <w:p>
      <w:pPr>
        <w:jc w:val="center"/>
      </w:pPr>
      <w:r>
        <w:rPr>
          <w:b/>
          <w:i w:val="0"/>
        </w:rPr>
        <w:t>ỦY BAN NHÂN DÂN TỈNH LÂM ĐỒNG</w:t>
      </w:r>
    </w:p>
    <w:p>
      <w:r>
        <w:rPr>
          <w:b w:val="0"/>
          <w:i/>
        </w:rPr>
        <w:t>Căn cứ Luật Tổ chức HĐND và UBND ngày 26/11/2003;</w:t>
      </w:r>
    </w:p>
    <w:p>
      <w:r>
        <w:rPr>
          <w:b w:val="0"/>
          <w:i/>
        </w:rPr>
        <w:t>Căn cứ Luật Đất đai ngày 26/11/2003;</w:t>
      </w:r>
    </w:p>
    <w:p>
      <w:r>
        <w:rPr>
          <w:b w:val="0"/>
          <w:i/>
        </w:rPr>
        <w:t>Căn cứ Nghị định số 224/2004/NĐ-CP ngày 29/10/2004 về thi hành Luật Đất đai năm 2003 và Nghị định số 17/2006/NĐ-CP ngày 27/01/2006 về sửa đổi, bổ sung một số điều của các Nghị định hướng dẫn thi hành Luật Đất đai và Nghị định số 7857/2004/NĐ-CP về việc chuyển Công ty nhà nước thành Công ty cổ phần; Nghị định 84/2007/NĐ-CP ngày 25/5/2007 của Chính phủ về Quy định bổ sung về việc cấp Giấy chứng nhận quyền sử dụng đất, thu hồi đất, thực hiện quyền sử dụng đất, trình tự, thủ tục bồi dưỡng, hỗ trợ, tái định cư khi Nhà nước thu hồi đất và giải quyết khiếu nại về đất đai;</w:t>
      </w:r>
    </w:p>
    <w:p>
      <w:r>
        <w:rPr>
          <w:b w:val="0"/>
          <w:i/>
        </w:rPr>
        <w:t>Xét đề nghị của Sở Tài nguyên và Môi trường tại Tờ trình số 07/TTr-TNMT ngày 04/01/2008 và Văn bản thẩm định số 155/BC-STP ngày 07/12/2007 của Sở Tư pháp,</w:t>
      </w:r>
    </w:p>
    <w:p>
      <w:r>
        <w:rPr>
          <w:b/>
          <w:i w:val="0"/>
        </w:rPr>
        <w:t>QUYẾT ĐỊNH:</w:t>
      </w:r>
    </w:p>
    <w:p>
      <w:r>
        <w:rPr>
          <w:b/>
          <w:i w:val="0"/>
        </w:rPr>
        <w:t xml:space="preserve">Điều 1. </w:t>
      </w:r>
      <w:r>
        <w:rPr>
          <w:b w:val="0"/>
          <w:i w:val="0"/>
        </w:rPr>
        <w:t>Phạm vi áp dụng.</w:t>
      </w:r>
    </w:p>
    <w:p>
      <w:r>
        <w:rPr>
          <w:b w:val="0"/>
          <w:i w:val="0"/>
        </w:rPr>
        <w:t>1. Quyết định này quy định về diện tích đất tối thiểu được phép tách thửa đối với các loại đất trên địa bàn tỉnh Lâm Đồng khi người sử dụng đất có nhu cầu tách thửa để thực hiện các quyền của người sử dụng đất theo quy định của Luật Đất đai.</w:t>
      </w:r>
    </w:p>
    <w:p>
      <w:r>
        <w:rPr>
          <w:b w:val="0"/>
          <w:i w:val="0"/>
        </w:rPr>
        <w:t>2. Những trường hợp tách thửa do đo bao khi đo đạc thành lập bản đồ địa chính; tách thửa theo bản án có hiệu lực của toà án; do thu hồi đất để triển khai các dự án không thuộc phạm vi điều chỉnh của quyết định này.</w:t>
      </w:r>
    </w:p>
    <w:p>
      <w:r>
        <w:rPr>
          <w:b/>
          <w:i w:val="0"/>
        </w:rPr>
        <w:t xml:space="preserve">Điều 2. </w:t>
      </w:r>
      <w:r>
        <w:rPr>
          <w:b w:val="0"/>
          <w:i w:val="0"/>
        </w:rPr>
        <w:t>Diện tích đất tối thiểu để được tách thửa.</w:t>
      </w:r>
    </w:p>
    <w:p>
      <w:r>
        <w:rPr>
          <w:b w:val="0"/>
          <w:i w:val="0"/>
        </w:rPr>
        <w:t>1. Thửa đất tách thửa là đất ở:</w:t>
      </w:r>
    </w:p>
    <w:p>
      <w:r>
        <w:rPr>
          <w:b w:val="0"/>
          <w:i w:val="0"/>
        </w:rPr>
        <w:t>a) Đối với những khu vực đã có qui hoạch chung; qui hoạch chi tiết xây dựng và đã có điều lệ quản lý qui hoạch, trong đó xác định rõ loại nhà ở, thì việc tách thửa tuân theo điều lệ và qui hoạch đã được duyệt.</w:t>
      </w:r>
    </w:p>
    <w:p>
      <w:r>
        <w:rPr>
          <w:b w:val="0"/>
          <w:i w:val="0"/>
        </w:rPr>
        <w:t>b) Đối với những khu vực chưa có quy hoạch, hoặc đã có qui hoạch nhưng chưa ban hành điều lệ quản lý xây dựng, chưa có quy định cụ thể về diện tích đất tối thiểu và chiều ngang tối thiểu của lô đất xây dựng cho từng loại nhà ở thì diện tích đất tối thiểu được phép tách thửa, qui định như sau:</w:t>
      </w:r>
    </w:p>
    <w:p>
      <w:r>
        <w:rPr>
          <w:b w:val="0"/>
          <w:i w:val="0"/>
        </w:rPr>
        <w:t>+ Đối với khu vực đô thị (phường, thị trấn):</w:t>
      </w:r>
    </w:p>
    <w:p>
      <w:r>
        <w:rPr>
          <w:b w:val="0"/>
          <w:i w:val="0"/>
        </w:rPr>
        <w:t>- Dạng nhà phố: diện tích tối thiểu là 40m2 và có kích thước theo mặt đường phố chính bằng hoặc lớn hơn 4,0m; tại các đường hẻm kích thước theo mặt đường bằng hoặc lớn hơn 3,3m.</w:t>
      </w:r>
    </w:p>
    <w:p>
      <w:r>
        <w:rPr>
          <w:b w:val="0"/>
          <w:i w:val="0"/>
        </w:rPr>
        <w:t>- Dạng nhà liên kế có sân vườn: diện tích tối thiểu là 72m2 và có kích thước theo mặt đường phố chính bằng hoặc lớn hơn 4,5m; tại các đường hẻm diện tích tối thiểu là 64m2 và kích thước theo mặt đường bằng hoặc lớn hơn 4,0m.</w:t>
      </w:r>
    </w:p>
    <w:p>
      <w:r>
        <w:rPr>
          <w:b w:val="0"/>
          <w:i w:val="0"/>
        </w:rPr>
        <w:t>- Dạng nhà song lập: diện tích tối thiểu là 140m2 và có kích thước theo mặt đường phố chính bằng hoặc lớn hơn 10,0m; tại các đường hẻm diện tích tối thiểu là 112m2 và kích thước theo mặt đường bằng hoặc lớn hơn 8,0m.</w:t>
      </w:r>
    </w:p>
    <w:p>
      <w:r>
        <w:rPr>
          <w:b w:val="0"/>
          <w:i w:val="0"/>
        </w:rPr>
        <w:t>- Dạng nhà biệt lập: diện tích tối thiểu là 250m2 và có kích thước theo mặt đường phố chính bằng hoặc lớn hơn 12,0m; tại các đường hẻm diện tích tối thiểu là 200m2 và kích thước theo mặt đường bằng hoặc lớn hơn 10,0m.</w:t>
      </w:r>
    </w:p>
    <w:p>
      <w:r>
        <w:rPr>
          <w:b w:val="0"/>
          <w:i w:val="0"/>
        </w:rPr>
        <w:t>- Dạng biệt thự: diện tích tối thiểu là 400m2 và có kích thước theo mặt đường phố bằng hoặc lớn hơn 14m</w:t>
      </w:r>
    </w:p>
    <w:p>
      <w:r>
        <w:rPr>
          <w:b w:val="0"/>
          <w:i w:val="0"/>
        </w:rPr>
        <w:t>+ Đối với khu vực nông thôn: diện tích tối thiểu tách thửa là 100m2 và có kích thước thửa đất theo mặt đường bằng hoặc lớn hơn 5,0m.</w:t>
      </w:r>
    </w:p>
    <w:p>
      <w:r>
        <w:rPr>
          <w:b w:val="0"/>
          <w:i w:val="0"/>
        </w:rPr>
        <w:t>2. Thửa đất tách thửa là đất nông nghiệp:</w:t>
      </w:r>
    </w:p>
    <w:p>
      <w:r>
        <w:rPr>
          <w:b w:val="0"/>
          <w:i w:val="0"/>
        </w:rPr>
        <w:t>a) Trường hợp thửa đất thuộc qui hoạch là đất nông nghiệp: diện tích tối thiểu tách thửa là 500m2.</w:t>
      </w:r>
    </w:p>
    <w:p>
      <w:r>
        <w:rPr>
          <w:b w:val="0"/>
          <w:i w:val="0"/>
        </w:rPr>
        <w:t>b) Trường hợp thửa đất thuộc qui hoạch là đất ở: diện tích tối thiểu tách thửa qui định tại khoản 1- Điều 2 Quyết định này.</w:t>
      </w:r>
    </w:p>
    <w:p>
      <w:r>
        <w:rPr>
          <w:b w:val="0"/>
          <w:i w:val="0"/>
        </w:rPr>
        <w:t>3. Thửa đất tách thửa là đất phi nông nghiệp nhưng không phải là đất ở: việc tách thửa đất căn cứ vào ranh giới thửa thể hiện trong dự án đầu tư được cơ quan nhà nước có thẩm quyền phê duyệt hoặc thoả thuận.</w:t>
      </w:r>
    </w:p>
    <w:p>
      <w:r>
        <w:rPr>
          <w:b/>
          <w:i w:val="0"/>
        </w:rPr>
        <w:t xml:space="preserve">Điều 3. </w:t>
      </w:r>
      <w:r>
        <w:rPr>
          <w:b w:val="0"/>
          <w:i w:val="0"/>
        </w:rPr>
        <w:t>Trường hợp thửa đất có diện tích nhỏ hơn diện tích tối thiểu.</w:t>
      </w:r>
    </w:p>
    <w:p>
      <w:r>
        <w:rPr>
          <w:b w:val="0"/>
          <w:i w:val="0"/>
        </w:rPr>
        <w:t>1. Trường hợp tách thửa đồng thời với việc xin hợp thửa (nhập thửa) với thửa đất liền kề để tạo thửa đất mới bằng hoặc lớn hơn diện tích tối thiểu thì được phép tách thửa (không hạn chế về diện tích) và cơ quan có thẩm quyền cấp giấy chứng nhận quyền sử dụng đất cho thửa đất mới.</w:t>
      </w:r>
    </w:p>
    <w:p>
      <w:r>
        <w:rPr>
          <w:b w:val="0"/>
          <w:i w:val="0"/>
        </w:rPr>
        <w:t>2. Nếu diện tích thửa đất theo hiện trạng sử dụng (trước thời điểm quyết định này có hiệu lực thi hành) nhỏ hơn diện tích tối thiểu theo qui định tại Điều 2 Quyết định này thì cho tồn tại sử dụng và được cấp giấy chứng nhận quyền sử dụng đất.</w:t>
      </w:r>
    </w:p>
    <w:p>
      <w:r>
        <w:rPr>
          <w:b/>
          <w:i w:val="0"/>
        </w:rPr>
        <w:t xml:space="preserve">Điều 4. </w:t>
      </w:r>
      <w:r>
        <w:rPr>
          <w:b w:val="0"/>
          <w:i w:val="0"/>
        </w:rPr>
        <w:t>Xử lý các trường hợp tự ý tách thửa.</w:t>
      </w:r>
    </w:p>
    <w:p>
      <w:r>
        <w:rPr>
          <w:b w:val="0"/>
          <w:i w:val="0"/>
        </w:rPr>
        <w:t>Sau ngày quyết định này có hiệu lực thi hành, nếu người sử dụng tự tách thửa mà thửa đất tách ra có diện tích nhỏ hơn diện tích tối thiểu thì không được cấp giấy chứng nhận quyền sử dụng đất, không được thực hiện các quyền của người sử dụng đất và buộc phải nhập lại thửa theo nguyên trạng ban đầu.</w:t>
      </w:r>
    </w:p>
    <w:p>
      <w:r>
        <w:rPr>
          <w:b/>
          <w:i w:val="0"/>
        </w:rPr>
        <w:t xml:space="preserve">Điều 5. </w:t>
      </w:r>
      <w:r>
        <w:rPr>
          <w:b w:val="0"/>
          <w:i w:val="0"/>
        </w:rPr>
        <w:t>Hiệu lực thi hành</w:t>
      </w:r>
    </w:p>
    <w:p>
      <w:r>
        <w:rPr>
          <w:b w:val="0"/>
          <w:i w:val="0"/>
        </w:rPr>
        <w:t>Quyết định này có hiệu lực sau 10 ngày, kể từ ngày ký.</w:t>
      </w:r>
    </w:p>
    <w:p>
      <w:r>
        <w:rPr>
          <w:b/>
          <w:i w:val="0"/>
        </w:rPr>
        <w:t xml:space="preserve">Điều 6. </w:t>
      </w:r>
      <w:r>
        <w:rPr>
          <w:b w:val="0"/>
          <w:i w:val="0"/>
        </w:rPr>
        <w:t>Trách nhiệm thi hành</w:t>
      </w:r>
    </w:p>
    <w:p>
      <w:r>
        <w:rPr>
          <w:b w:val="0"/>
          <w:i w:val="0"/>
        </w:rPr>
        <w:t>Chánh Văn phòng Ủy ban nhân dân tỉnh; Chủ tịch Ủy ban nhân dân các huyện, thị xã Bảo Lộc, thành phố Đà Lạt; Giám đốc các sở, ngành; Thủ trưởng các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