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08/2011/QH13 Về ban hành bổ sung một số giải pháp về thuế nhằm tháo gỡ khó khăn cho doanh nghiệp và cá nhân</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Nghị quyết số: 08/2011/QH13</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Nghị quyết số: 08/2011/QH13</w:t>
      </w:r>
      <w:r>
        <w:rPr>
          <w:b w:val="0"/>
          <w:i w:val="0"/>
        </w:rPr>
        <w:br/>
      </w:r>
      <w:r>
        <w:rPr>
          <w:b w:val="0"/>
          <w:i w:val="0"/>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Nghị quyết số: 08/2011/QH13</w:t>
      </w:r>
      <w:r>
        <w:rPr>
          <w:b w:val="0"/>
          <w:i w:val="0"/>
        </w:rPr>
        <w:br/>
      </w:r>
      <w:r>
        <w:rPr>
          <w:b w:val="0"/>
          <w:i w:val="0"/>
        </w:rPr>
        <w:br/>
      </w:r>
      <w:r>
        <w:rPr>
          <w:b w:val="0"/>
          <w:i w:val="0"/>
        </w:rPr>
        <w:br/>
      </w:r>
    </w:p>
    <w:p>
      <w:pPr>
        <w:jc w:val="center"/>
      </w:pPr>
      <w:r>
        <w:rPr>
          <w:b w:val="0"/>
          <w:i w:val="0"/>
        </w:rPr>
        <w:br/>
      </w:r>
      <w:r>
        <w:rPr>
          <w:b w:val="0"/>
          <w:i w:val="0"/>
        </w:rPr>
        <w:t>Nghị quyết số: 08/2011/QH13</w:t>
      </w:r>
      <w:r>
        <w:rPr>
          <w:b w:val="0"/>
          <w:i w:val="0"/>
        </w:rPr>
        <w:br/>
      </w:r>
    </w:p>
    <w:p>
      <w:pPr>
        <w:jc w:val="center"/>
      </w:pPr>
      <w:r>
        <w:rPr>
          <w:b/>
          <w:i w:val="0"/>
        </w:rPr>
        <w:t>NGHỊ QUYẾT</w:t>
      </w:r>
    </w:p>
    <w:p>
      <w:pPr>
        <w:jc w:val="center"/>
      </w:pPr>
      <w:r>
        <w:rPr>
          <w:b/>
          <w:i w:val="0"/>
        </w:rPr>
        <w:t xml:space="preserve">Về ban hành bổ sung một số giải pháp về thuế </w:t>
      </w:r>
    </w:p>
    <w:p>
      <w:pPr>
        <w:jc w:val="center"/>
      </w:pPr>
      <w:r>
        <w:rPr>
          <w:b/>
          <w:i w:val="0"/>
        </w:rPr>
        <w:t>nhằm tháo gỡ khó khăn cho doanh nghiệp và cá nhân</w:t>
      </w:r>
    </w:p>
    <w:p>
      <w:pPr>
        <w:jc w:val="center"/>
      </w:pPr>
      <w:r>
        <w:rPr>
          <w:b w:val="0"/>
          <w:i w:val="0"/>
        </w:rPr>
        <w:t>_____________________________________</w:t>
      </w:r>
    </w:p>
    <w:p>
      <w:pPr>
        <w:jc w:val="center"/>
      </w:pPr>
      <w:r>
        <w:rPr>
          <w:b/>
          <w:i w:val="0"/>
        </w:rPr>
        <w:t>QUỐC HỘI</w:t>
      </w:r>
      <w:r>
        <w:br/>
      </w:r>
      <w:r>
        <w:rPr>
          <w:b/>
          <w:i w:val="0"/>
        </w:rPr>
        <w:br/>
        <w:t xml:space="preserve">      NƯỚC CỘNG HÒA XÃ HỘI CHỦ NGHĨA VIỆT NAM </w:t>
      </w:r>
    </w:p>
    <w:p>
      <w:pPr>
        <w:jc w:val="both"/>
      </w:pPr>
      <w:r>
        <w:rPr>
          <w:b w:val="0"/>
          <w:i w:val="0"/>
        </w:rPr>
        <w:t>Căn cứ Hiến pháp nước Cộng hòa xã hội chủ nghĩa Việt Nam năm 1992 đã được sửa đổi, bổ sung một số điều theo Nghị quyết số 51/2001/QH10;</w:t>
      </w:r>
    </w:p>
    <w:p>
      <w:pPr>
        <w:jc w:val="both"/>
      </w:pPr>
      <w:r>
        <w:rPr>
          <w:b w:val="0"/>
          <w:i w:val="0"/>
        </w:rPr>
        <w:t>Căn cứ Luật Quản lý thuế số 78/2006/QH11;</w:t>
      </w:r>
    </w:p>
    <w:p>
      <w:pPr>
        <w:jc w:val="both"/>
      </w:pPr>
      <w:r>
        <w:rPr>
          <w:b w:val="0"/>
          <w:i w:val="0"/>
        </w:rPr>
        <w:t xml:space="preserve">Căn cứ Luật Thuế thu nhập cá nhân số 04/2007/QH12; </w:t>
      </w:r>
    </w:p>
    <w:p>
      <w:pPr>
        <w:jc w:val="both"/>
      </w:pPr>
      <w:r>
        <w:rPr>
          <w:b w:val="0"/>
          <w:i w:val="0"/>
        </w:rPr>
        <w:t xml:space="preserve">Căn cứ Luật Thuế thu nhập doanh nghiệp số 14/2008/QH12; </w:t>
      </w:r>
    </w:p>
    <w:p>
      <w:pPr>
        <w:jc w:val="both"/>
      </w:pPr>
      <w:r>
        <w:rPr>
          <w:b w:val="0"/>
          <w:i w:val="0"/>
        </w:rPr>
        <w:t xml:space="preserve">Căn cứ Luật Thuế giá trị gia tăng số 13/2008/QH12; </w:t>
      </w:r>
    </w:p>
    <w:p>
      <w:pPr>
        <w:jc w:val="both"/>
      </w:pPr>
      <w:r>
        <w:rPr>
          <w:b w:val="0"/>
          <w:i w:val="0"/>
        </w:rPr>
        <w:t>Theo đề nghị của Chính phủ,</w:t>
      </w:r>
    </w:p>
    <w:p>
      <w:pPr>
        <w:jc w:val="center"/>
      </w:pPr>
      <w:r>
        <w:rPr>
          <w:b/>
          <w:i w:val="0"/>
        </w:rPr>
        <w:t>QUYẾT NGHỊ:</w:t>
      </w:r>
    </w:p>
    <w:p>
      <w:r>
        <w:rPr>
          <w:b/>
          <w:i w:val="0"/>
        </w:rPr>
        <w:t>Điều 1. Ban hành chính sách ưu đãi thuế đối với tổ chức, cá nhân</w:t>
      </w:r>
    </w:p>
    <w:p>
      <w:r>
        <w:rPr>
          <w:b w:val="0"/>
          <w:i w:val="0"/>
        </w:rPr>
        <w:t>1. Giảm 30% số thuế thu nhập doanh nghiệp phải nộp năm 2011 đối với:</w:t>
      </w:r>
    </w:p>
    <w:p>
      <w:r>
        <w:rPr>
          <w:b w:val="0"/>
          <w:i w:val="0"/>
        </w:rPr>
        <w:t>a) Doanh nghiệp nhỏ và vừa trừ số thuế tính trên thu nhập từ kinh doanh xổ số, bất động sản, chứng khoán, tài chính, ngân hàng, bảo hiểm và thu nhập từ sản xuất hàng hoá, dịch vụ thuộc diện chịu thuế tiêu thụ đặc biệt và trừ doanh nghiệp được xếp hạng I, hạng đặc biệt thuộc các tập đoàn kinh tế, doanh nghiệp là các công ty tổ chức theo mô hình công ty mẹ - công ty con mà công ty mẹ không phải là doanh nghiệp nhỏ và vừa và nắm giữ trên 50% vốn chủ sở hữu của công ty con;</w:t>
      </w:r>
    </w:p>
    <w:p>
      <w:r>
        <w:rPr>
          <w:b w:val="0"/>
          <w:i w:val="0"/>
        </w:rPr>
        <w:t>b) Doanh nghiệp sử dụng nhiều lao động trong lĩnh vực sản xuất, gia công, chế biến nông sản, lâm sản, thuỷ sản, dệt may, da giày, linh kiện điện tử, xây dựng công trình hạ tầng kinh tế - xã hội.</w:t>
      </w:r>
    </w:p>
    <w:p>
      <w:r>
        <w:rPr>
          <w:b w:val="0"/>
          <w:i w:val="0"/>
        </w:rPr>
        <w:t>2. Giảm 50% mức thuế khoán thuế giá trị gia tăng, thuế thu nhập cá nhân và thuế thu nhập doanh nghiệp từ quý III năm 2011 đến hết năm 2011 đối với hộ, cá nhân kinh doanh nhà trọ, phòng trọ cho công nhân, sinh viên, học sinh thuê; hộ, cá nhân chăm sóc trông giữ trẻ; hộ, cá nhân, tổ chức cung ứng suất ăn ca cho công nhân với điều kiện hộ, cá nhân, tổ chức này giữ ổn định mức giá cho thuê nhà trọ, phòng trọ, giá trông giữ trẻ và giá cung ứng suất ăn ca như cuối năm 2010.</w:t>
      </w:r>
    </w:p>
    <w:p>
      <w:r>
        <w:rPr>
          <w:b w:val="0"/>
          <w:i w:val="0"/>
        </w:rPr>
        <w:t>3. Miễn thuế thu nhập cá nhân từ ngày 01 tháng 8 năm 2011 đến hết ngày 31 tháng 12 năm 2012 đối với cổ tức được chia cho cá nhân từ hoạt động đầu tư vào thị trường chứng khoán, góp vốn mua cổ phần của doanh nghiệp trừ cổ tức của các ngân hàng cổ phần, quỹ đầu tư tài chính, tổ chức tín dụng.</w:t>
      </w:r>
    </w:p>
    <w:p>
      <w:r>
        <w:rPr>
          <w:b w:val="0"/>
          <w:i w:val="0"/>
        </w:rPr>
        <w:t>4. Giảm 50% số thuế thu nhập cá nhân phải nộp từ ngày 01 tháng 8 năm 2011 đến hết ngày 31 tháng 12 năm 2012 đối với hoạt động chuyển nhượng chứng khoán của cá nhân.</w:t>
      </w:r>
    </w:p>
    <w:p>
      <w:r>
        <w:rPr>
          <w:b w:val="0"/>
          <w:i w:val="0"/>
        </w:rPr>
        <w:t>5. Miễn thuế thu nhập cá nhân từ ngày 01 tháng 8 năm 2011 đến hết ngày 31 tháng 12 năm 2011 đối với cá nhân có thu nhập tính thuế từ tiền lương, tiền công và từ kinh doanh đến mức phải chịu thuế thu nhập cá nhân ở bậc 1 của Biểu thuế luỹ tiến từng phần quy định tại Điều 22 Luật thuế thu nhập cá nhân số 04/2007/QH12.</w:t>
      </w:r>
    </w:p>
    <w:p>
      <w:r>
        <w:rPr>
          <w:b/>
          <w:i w:val="0"/>
        </w:rPr>
        <w:t>Điều 2. Điều khoản thi hành</w:t>
      </w:r>
    </w:p>
    <w:p>
      <w:r>
        <w:rPr>
          <w:b w:val="0"/>
          <w:i w:val="0"/>
        </w:rPr>
        <w:t>1. Nghị quyết này có hiệu lực thi hành kể từ ngày thông qua.</w:t>
      </w:r>
    </w:p>
    <w:p>
      <w:r>
        <w:rPr>
          <w:b w:val="0"/>
          <w:i w:val="0"/>
        </w:rPr>
        <w:t xml:space="preserve">2. Chính phủ quy định chi tiết và hướng dẫn thi hành Nghị quyết này. </w:t>
      </w:r>
    </w:p>
    <w:p>
      <w:r>
        <w:rPr>
          <w:b w:val="0"/>
          <w:i/>
        </w:rPr>
        <w:t xml:space="preserve">Nghị quyết này đã được Quốc hội nước Cộng hòa xã hội chủ nghĩa Việt Nam khóa XIII, kỳ họp thứ nhất thông qua ngày 06 tháng 8 năm 2011. </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