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08/2018/QĐ-UBND Ban hành giá dịch vụ xe ra, vào bến ô tô khách Ba Bể</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NHẢN DÂN</w:t>
            </w:r>
            <w:r>
              <w:rPr>
                <w:b w:val="0"/>
                <w:i w:val="0"/>
              </w:rPr>
              <w:br/>
            </w:r>
            <w:r>
              <w:rPr>
                <w:b/>
                <w:i w:val="0"/>
              </w:rPr>
              <w:t>TỈNH BẮC KẠN</w:t>
            </w:r>
            <w:r>
              <w:rPr>
                <w:b w:val="0"/>
                <w:i w:val="0"/>
              </w:rPr>
              <w:br/>
            </w:r>
            <w:r>
              <w:rPr>
                <w:b w:val="0"/>
                <w:i w:val="0"/>
              </w:rPr>
              <w:t>Số: 08/2018/QĐ-UBND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Bác Kạn, ngày 22 tháng 5 năm 2018</w:t>
            </w:r>
          </w:p>
        </w:tc>
      </w:tr>
    </w:tbl>
    <w:p>
      <w:pPr>
        <w:jc w:val="center"/>
      </w:pPr>
      <w:r>
        <w:rPr>
          <w:b/>
          <w:i w:val="0"/>
        </w:rPr>
        <w:t>QUYẾT ĐỊNH</w:t>
      </w:r>
    </w:p>
    <w:p>
      <w:pPr>
        <w:jc w:val="center"/>
      </w:pPr>
      <w:r>
        <w:rPr>
          <w:b/>
          <w:i w:val="0"/>
        </w:rPr>
        <w:t>Ban hành giá dịch vụ xe ra, vào bến xe ô tô khách Ba Bể</w:t>
      </w:r>
    </w:p>
    <w:p>
      <w:pPr>
        <w:jc w:val="center"/>
      </w:pPr>
      <w:r>
        <w:rPr>
          <w:b/>
          <w:i w:val="0"/>
        </w:rPr>
        <w:t>ỦY BAN NHÂN DÂN TỈNH BẮC KẠN</w:t>
      </w:r>
    </w:p>
    <w:p>
      <w:r>
        <w:rPr>
          <w:b w:val="0"/>
          <w:i/>
        </w:rPr>
        <w:t>Căn cứ Luật Tổ chức chinh quyên địa phương ngày 19 tháng 6 năm 2015;</w:t>
      </w:r>
    </w:p>
    <w:p>
      <w:r>
        <w:rPr>
          <w:b w:val="0"/>
          <w:i/>
        </w:rPr>
        <w:t>Căn cứ Luật Giá ngày 20 thảng 6 năm 2012:</w:t>
      </w:r>
    </w:p>
    <w:p>
      <w:r>
        <w:rPr>
          <w:b w:val="0"/>
          <w:i/>
        </w:rPr>
        <w:t>Căn cứ Nghị đính số 177/2013/NĐ-CP ngày 14 tháng 11 năm 2013 của Chính phủ quy định chi tiết và hướng dẫn thi hành một số điều của Luật Giá;</w:t>
      </w:r>
    </w:p>
    <w:p>
      <w:r>
        <w:rPr>
          <w:b w:val="0"/>
          <w:i/>
        </w:rPr>
        <w:t>Căn cứ Nghị định số Nghị định số 149/2016/NĐ-CP ngày 11 tháng 11 năm 2014 của. Chính phủ sửa đổi, bổ sung một số điều của Nghị định số 177/2013/NĐ- CP ngày 14 tháng 11 năm 2013 của Chính phủ quy định chi tiết và hướng dẫn thi hành một số điều của Luật Giá;</w:t>
      </w:r>
    </w:p>
    <w:p>
      <w:r>
        <w:rPr>
          <w:b w:val="0"/>
          <w:i/>
        </w:rPr>
        <w:t>Căn cứ Thông tư số 25/2014/TT-BTC ngày 17 tháng 02 năm 2014 của Bộ Tài chính quy định phương pháp định giá chung đối với hàng hóa, dịch vụ;</w:t>
      </w:r>
    </w:p>
    <w:p>
      <w:r>
        <w:rPr>
          <w:b w:val="0"/>
          <w:i/>
        </w:rPr>
        <w:t>Căn cứ Thông tư liên tịch số 152/2014/TTLT-BTC-BGTVT ngày 15 tháng 10 năm 2014 của liên Bộ: Tài chỉnh, Giao thông Vận tải hướng dẫn thực hiện giá cước vận tải bằng xe ô tô và giá dịch vụ hỗ trợ vận tải đường bộ;</w:t>
      </w:r>
    </w:p>
    <w:p>
      <w:r>
        <w:rPr>
          <w:b w:val="0"/>
          <w:i/>
        </w:rPr>
        <w:t>Theo đề nghị của Giám đốc Sở Tài chính tại Tờ trình số 86/TTr-STC ngày 04 tháng 5 năm 2018,</w:t>
      </w:r>
    </w:p>
    <w:p>
      <w:pPr>
        <w:jc w:val="center"/>
      </w:pPr>
      <w:r>
        <w:rPr>
          <w:b/>
          <w:i w:val="0"/>
        </w:rPr>
        <w:t>QUYẾT ĐỊNH</w:t>
      </w:r>
    </w:p>
    <w:p>
      <w:r>
        <w:rPr>
          <w:b/>
          <w:i w:val="0"/>
        </w:rPr>
        <w:t xml:space="preserve">Điều 1. </w:t>
      </w:r>
      <w:r>
        <w:rPr>
          <w:b w:val="0"/>
          <w:i w:val="0"/>
        </w:rPr>
        <w:t>Ban hành giá dịch vụ xe ra, vào bến xe ô tô khách Ba Bể, cụ thể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w:t>
            </w:r>
          </w:p>
        </w:tc>
        <w:tc>
          <w:tcPr>
            <w:tcW w:type="dxa" w:w="2160"/>
          </w:tcPr>
          <w:p>
            <w:r>
              <w:rPr>
                <w:b w:val="0"/>
                <w:i w:val="0"/>
              </w:rPr>
              <w:br/>
            </w:r>
            <w:r>
              <w:rPr>
                <w:b/>
                <w:i w:val="0"/>
              </w:rPr>
              <w:t>Đơn vị tính</w:t>
            </w:r>
          </w:p>
        </w:tc>
        <w:tc>
          <w:tcPr>
            <w:tcW w:type="dxa" w:w="2160"/>
          </w:tcPr>
          <w:p>
            <w:r>
              <w:rPr>
                <w:b w:val="0"/>
                <w:i w:val="0"/>
              </w:rPr>
              <w:br/>
            </w:r>
            <w:r>
              <w:rPr>
                <w:b/>
                <w:i w:val="0"/>
              </w:rPr>
              <w:t>Mức thu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II</w:t>
            </w:r>
          </w:p>
        </w:tc>
        <w:tc>
          <w:tcPr>
            <w:tcW w:type="dxa" w:w="2880"/>
          </w:tcPr>
          <w:p>
            <w:r>
              <w:rPr>
                <w:b w:val="0"/>
                <w:i w:val="0"/>
              </w:rPr>
              <w:br/>
            </w:r>
            <w:r>
              <w:rPr>
                <w:b/>
                <w:i w:val="0"/>
              </w:rPr>
              <w:t>Xe ghé bến các loại</w:t>
            </w:r>
          </w:p>
        </w:tc>
        <w:tc>
          <w:tcPr>
            <w:tcW w:type="dxa" w:w="2880"/>
          </w:tcPr>
          <w:p>
            <w:r>
              <w:rPr>
                <w:b w:val="0"/>
                <w:i w:val="0"/>
              </w:rPr>
              <w:br/>
            </w:r>
          </w:p>
        </w:tc>
      </w:tr>
    </w:tbl>
    <w:p>
      <w:r>
        <w:rPr>
          <w:b/>
          <w:i w:val="0"/>
        </w:rPr>
        <w:t xml:space="preserve">Điều 2. </w:t>
      </w:r>
      <w:r>
        <w:rPr>
          <w:b w:val="0"/>
          <w:i w:val="0"/>
        </w:rPr>
        <w:t>Trách nhiệm tô chức thực hiện:</w:t>
      </w:r>
    </w:p>
    <w:p>
      <w:r>
        <w:rPr>
          <w:b w:val="0"/>
          <w:i w:val="0"/>
        </w:rPr>
        <w:t xml:space="preserve">1. Giao UBND huyện Ba Bể chỉ đạo bến xe ô tô khách Ba Bể thu, nộp, quyết toán, quản lý và sử dụng giá dịch vụ xe ra, vào bến xe ô tô khách Ba Bể theo quy định. </w:t>
      </w:r>
    </w:p>
    <w:p>
      <w:r>
        <w:rPr>
          <w:b w:val="0"/>
          <w:i w:val="0"/>
        </w:rPr>
        <w:t xml:space="preserve">2. Bến xe ô tô khách Ba Bể thực hiện công khai, niêm yết giá, thu đúng theo mức giá dịch vụ được quy định tại Quyết định này; quản lý, sử dụng nguồn thu từ giá dịch vụ và nộp các khoản thuế theo quy định của pháp luật hiện hành. </w:t>
      </w:r>
    </w:p>
    <w:p>
      <w:r>
        <w:rPr>
          <w:b w:val="0"/>
          <w:i w:val="0"/>
        </w:rPr>
        <w:t>3. Giao Chi cục Thuế huyện Ba Bể có trách nhiệm hướng dẫn kê khai thuế và sử dụng hóa đơn bán hàng đối với Bến xe ô tô khách huyện Ba Bể theo quy định.</w:t>
      </w:r>
    </w:p>
    <w:p>
      <w:r>
        <w:rPr>
          <w:b/>
          <w:i w:val="0"/>
        </w:rPr>
        <w:t xml:space="preserve">Điều 3. </w:t>
      </w:r>
      <w:r>
        <w:rPr>
          <w:b w:val="0"/>
          <w:i w:val="0"/>
        </w:rPr>
        <w:t>Quyết định này có hiệu lực ke từ ngày 31 tháng 5 năm 2018.</w:t>
      </w:r>
    </w:p>
    <w:p>
      <w:r>
        <w:rPr>
          <w:b w:val="0"/>
          <w:i w:val="0"/>
        </w:rPr>
        <w:t>Các Ông (Bà): Chánh Văn phòng UBND tỉnh, Giám đốc Sở Tài chính, Giám đốc Sở Giao thông Vận tải, Giám đốc Kho bạc Nhà nước tỉnh, Cục trưởng Cục Thuế tỉnh, Chủ tịch UBND huyện Ba Bể, Giám đốc Công ty Cổ phần dịch vụ vận tải Ba Bể, Thủ trưởng các đơn vị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i w:val="0"/>
              </w:rPr>
              <w:t>Lý Thái 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