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08/2025/QĐ-UBND Ban hành Định mức kinh tế - kỹ thuật trong quản lý, khai thác công trình thủy lợi của Công ty TNHH một thành viên Sông Chu</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08/2025/QĐ-UBND</w:t>
        <w:br/>
        <w:t xml:space="preserve">     </w:t>
      </w:r>
      <w:r>
        <w:rPr>
          <w:b w:val="0"/>
          <w:i w:val="0"/>
        </w:rPr>
        <w:br/>
      </w:r>
      <w:r>
        <w:rPr>
          <w:b w:val="0"/>
          <w:i/>
        </w:rPr>
        <w:br/>
        <w:t xml:space="preserve">      Thanh Hóa, ngày 14 tháng 02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08/2025/QĐ-UBND</w:t>
        <w:br/>
        <w:t xml:space="preserve">     </w:t>
      </w:r>
      <w:r>
        <w:rPr>
          <w:b w:val="0"/>
          <w:i w:val="0"/>
        </w:rPr>
        <w:br/>
      </w:r>
      <w:r>
        <w:rPr>
          <w:b w:val="0"/>
          <w:i/>
        </w:rPr>
        <w:br/>
        <w:t xml:space="preserve">      Thanh Hóa, ngày 14 tháng 02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THANH HÓA</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THANH HÓA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08/2025/QĐ-UBND</w:t>
        <w:br/>
        <w:t xml:space="preserve">     </w:t>
      </w:r>
      <w:r>
        <w:rPr>
          <w:b w:val="0"/>
          <w:i w:val="0"/>
        </w:rPr>
        <w:br/>
      </w:r>
      <w:r>
        <w:rPr>
          <w:b w:val="0"/>
          <w:i/>
        </w:rPr>
        <w:br/>
        <w:t xml:space="preserve">      Thanh Hóa, ngày 14 tháng 02 năm 2025</w:t>
        <w:br/>
        <w:t xml:space="preserve">     </w:t>
      </w:r>
      <w:r>
        <w:rPr>
          <w:b w:val="0"/>
          <w:i w:val="0"/>
        </w:rPr>
        <w:br/>
      </w:r>
    </w:p>
    <w:p>
      <w:pPr>
        <w:jc w:val="center"/>
      </w:pPr>
      <w:r>
        <w:rPr>
          <w:b w:val="0"/>
          <w:i w:val="0"/>
        </w:rPr>
        <w:br/>
        <w:t xml:space="preserve">      Số: 08/2025/QĐ-UBND</w:t>
        <w:br/>
        <w:t xml:space="preserve">     </w:t>
      </w:r>
    </w:p>
    <w:p>
      <w:pPr>
        <w:jc w:val="center"/>
      </w:pPr>
      <w:r>
        <w:rPr>
          <w:b w:val="0"/>
          <w:i w:val="0"/>
        </w:rPr>
        <w:br/>
        <w:t xml:space="preserve">      Thanh Hóa, ngày 14 tháng 02 năm 2025</w:t>
        <w:br/>
        <w:t xml:space="preserve">     </w:t>
      </w:r>
    </w:p>
    <w:p>
      <w:pPr>
        <w:jc w:val="center"/>
      </w:pPr>
      <w:r>
        <w:rPr>
          <w:b/>
          <w:i w:val="0"/>
        </w:rPr>
        <w:t>QUYẾT ĐỊNH</w:t>
      </w:r>
    </w:p>
    <w:p>
      <w:r>
        <w:rPr>
          <w:b/>
          <w:i w:val="0"/>
        </w:rPr>
        <w:t xml:space="preserve">Ban hành Định mức kinh tế - kỹ thuật trong quản lý, khai thác công trình thủy lợi </w:t>
      </w:r>
    </w:p>
    <w:p>
      <w:r>
        <w:rPr>
          <w:b/>
          <w:i w:val="0"/>
        </w:rPr>
        <w:t xml:space="preserve">của Công ty TNHH một </w:t>
      </w:r>
      <w:r>
        <w:rPr>
          <w:b/>
          <w:i w:val="0"/>
        </w:rPr>
        <w:t>thành viên sông Chu</w:t>
      </w:r>
    </w:p>
    <w:p>
      <w:r>
        <w:rPr>
          <w:b/>
          <w:i w:val="0"/>
        </w:rPr>
        <w:t>_________________</w:t>
      </w:r>
    </w:p>
    <w:p>
      <w:pPr>
        <w:jc w:val="center"/>
      </w:pPr>
      <w:r>
        <w:rPr>
          <w:b/>
          <w:i w:val="0"/>
        </w:rPr>
        <w:t>ỦY BAN NHÂN DÂN TỈNH THANH HÓA</w:t>
      </w:r>
    </w:p>
    <w:p>
      <w:r>
        <w:rPr>
          <w:b w:val="0"/>
          <w:i/>
        </w:rPr>
        <w:t xml:space="preserve">         Căn cứ Luật Tổ chức chính quyền địa phương ngày 19/6/2015; Luật sửa đổi, bổ sung một số điều của Luật Tổ chức Chính phủ và Luật Tổ chức chính quyền địa phương ngày 22/11/2019;</w:t>
      </w:r>
    </w:p>
    <w:p>
      <w:r>
        <w:rPr>
          <w:b w:val="0"/>
          <w:i/>
        </w:rPr>
        <w:t xml:space="preserve">        Căn cứ Luật Ban hành văn bản quy phạm pháp luật ngày 22/6/2015; Luật sửa đổi, bổ sung một số điều của Luật Ban hành văn bản quy phạm pháp luật ngày 18/6/2020;</w:t>
      </w:r>
    </w:p>
    <w:p>
      <w:r>
        <w:rPr>
          <w:b w:val="0"/>
          <w:i/>
        </w:rPr>
        <w:t xml:space="preserve">         Căn cứ Luật Thủy lợi ngày 19/6/2017;</w:t>
      </w:r>
    </w:p>
    <w:p>
      <w:r>
        <w:rPr>
          <w:b w:val="0"/>
          <w:i/>
        </w:rPr>
        <w:t xml:space="preserve">         Căn cứ các Nghị định của Chính phủ: số 67/2018/NĐ-CP ngày 14/5/2018 quy định chi tiết một số điều của Luật Thủy lợi, số 40/2023/NĐ-CP ngày 27/6/2023 sửa đổi, bổ sung một số điều của Nghị định số 67/2018/NĐ-CP ngày 14/5/2018;</w:t>
      </w:r>
    </w:p>
    <w:p>
      <w:r>
        <w:rPr>
          <w:b w:val="0"/>
          <w:i/>
        </w:rPr>
        <w:t xml:space="preserve">         Căn cứ Thông tư số 27/2022/TT-BNNPTNT ngày 30/12/2022 của Bộ trưởng Bộ Nông nghiệp và PTNT hướng dẫn xây dựng định mức kinh tế - kỹ thuật trong quản lý, khai thác công trình thủy lợi;</w:t>
      </w:r>
    </w:p>
    <w:p>
      <w:r>
        <w:rPr>
          <w:b w:val="0"/>
          <w:i/>
        </w:rPr>
        <w:t xml:space="preserve">         Theo đề nghị của Giám đốc Sở Nông nghiệp và PTNT tại Tờ trình số 466/TTr-SNN&amp;PTNT ngày 17/12/2024 và Công ty TNHH một thành viên Sông Chu tại Tờ trình số 931/SC-TT-BHĐM ngày 18/6/2024 (kèm theo hồ sơ) về việc ban hành Định mức kinh tế - kỹ thuật trong quản lý, khai thác công trình thủy lợi của Công ty TNHH một thành viên Sông Chu.</w:t>
      </w:r>
    </w:p>
    <w:p>
      <w:pPr>
        <w:jc w:val="center"/>
      </w:pPr>
      <w:r>
        <w:rPr>
          <w:b/>
          <w:i w:val="0"/>
        </w:rPr>
        <w:t>QUYẾT ĐỊNH:</w:t>
      </w:r>
    </w:p>
    <w:p>
      <w:r>
        <w:rPr>
          <w:b/>
          <w:i w:val="0"/>
        </w:rPr>
        <w:t xml:space="preserve">Điều 1. </w:t>
      </w:r>
      <w:r>
        <w:rPr>
          <w:b w:val="0"/>
          <w:i w:val="0"/>
        </w:rPr>
        <w:t>Ban hành Định mức kinh tế - kỹ thuật trong quản lý, khai thác công trình thủy lợi của Công ty TNHH một thành viên Sông Chu với các nội dung chính như sau:</w:t>
      </w:r>
    </w:p>
    <w:p>
      <w:r>
        <w:rPr>
          <w:b/>
          <w:i w:val="0"/>
        </w:rPr>
        <w:t>1. Định mức lao động</w:t>
      </w:r>
    </w:p>
    <w:p>
      <w:r>
        <w:rPr>
          <w:b w:val="0"/>
          <w:i w:val="0"/>
        </w:rPr>
        <w:t>a) Định mức lao động trực tiếp:</w:t>
      </w:r>
    </w:p>
    <w:p>
      <w:r>
        <w:rPr>
          <w:b w:val="0"/>
          <w:i w:val="0"/>
        </w:rPr>
        <w:t>- Cấp bậc công việc lao động trực tiếp: Xác định cấp bậc công việc lao động trực tiếp quản lý, khai thác công trình thủy lợi theo quy định tại khoản 3, Điều 5 Thông tư số 27/2022/TT-BNNPTNT ngày 30/12/2022 của Bộ trưởng Bộ Nông nghiệp và PTNT hướng dẫn xây dựng định mức kinh tế - kỹ thuật trong quản lý, khai thác công trình thủy lợi.</w:t>
      </w:r>
    </w:p>
    <w:p>
      <w:r>
        <w:rPr>
          <w:b w:val="0"/>
          <w:i w:val="0"/>
        </w:rPr>
        <w:t xml:space="preserve">- Định mức lao động trực tiếp: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i w:val="0"/>
              </w:rPr>
              <w:t>TT</w:t>
            </w:r>
          </w:p>
        </w:tc>
        <w:tc>
          <w:tcPr>
            <w:tcW w:type="dxa" w:w="1728"/>
          </w:tcPr>
          <w:p>
            <w:r>
              <w:rPr>
                <w:b w:val="0"/>
                <w:i w:val="0"/>
              </w:rPr>
              <w:br/>
            </w:r>
            <w:r>
              <w:rPr>
                <w:b w:val="0"/>
                <w:i w:val="0"/>
              </w:rPr>
              <w:t xml:space="preserve"> </w:t>
            </w:r>
            <w:r>
              <w:rPr>
                <w:b w:val="0"/>
                <w:i w:val="0"/>
              </w:rPr>
              <w:br/>
            </w:r>
            <w:r>
              <w:rPr>
                <w:b/>
                <w:i w:val="0"/>
              </w:rPr>
              <w:t>Công trình</w:t>
            </w:r>
          </w:p>
        </w:tc>
        <w:tc>
          <w:tcPr>
            <w:tcW w:type="dxa" w:w="1728"/>
          </w:tcPr>
          <w:p>
            <w:r>
              <w:rPr>
                <w:b w:val="0"/>
                <w:i w:val="0"/>
              </w:rPr>
              <w:br/>
            </w:r>
            <w:r>
              <w:rPr>
                <w:b w:val="0"/>
                <w:i w:val="0"/>
              </w:rPr>
              <w:t xml:space="preserve"> </w:t>
            </w:r>
            <w:r>
              <w:rPr>
                <w:b w:val="0"/>
                <w:i w:val="0"/>
              </w:rPr>
              <w:br/>
            </w:r>
            <w:r>
              <w:rPr>
                <w:b/>
                <w:i w:val="0"/>
              </w:rPr>
              <w:t>Đơn vị tính</w:t>
            </w:r>
          </w:p>
        </w:tc>
        <w:tc>
          <w:tcPr>
            <w:tcW w:type="dxa" w:w="1728"/>
          </w:tcPr>
          <w:p>
            <w:r>
              <w:rPr>
                <w:b w:val="0"/>
                <w:i w:val="0"/>
              </w:rPr>
              <w:br/>
            </w:r>
            <w:r>
              <w:rPr>
                <w:b/>
                <w:i w:val="0"/>
              </w:rPr>
              <w:t>Định mức lao động trực tiếp</w:t>
            </w:r>
          </w:p>
        </w:tc>
        <w:tc>
          <w:tcPr>
            <w:tcW w:type="dxa" w:w="1728"/>
          </w:tcPr>
          <w:p>
            <w:r>
              <w:rPr>
                <w:b w:val="0"/>
                <w:i w:val="0"/>
              </w:rPr>
              <w:br/>
            </w:r>
            <w:r>
              <w:rPr>
                <w:b w:val="0"/>
                <w:i w:val="0"/>
              </w:rPr>
              <w:t xml:space="preserve"> </w:t>
            </w:r>
            <w:r>
              <w:rPr>
                <w:b w:val="0"/>
                <w:i w:val="0"/>
              </w:rPr>
              <w:br/>
            </w:r>
            <w:r>
              <w:rPr>
                <w:b/>
                <w:i w:val="0"/>
              </w:rPr>
              <w:t>Ghi</w:t>
            </w:r>
            <w:r>
              <w:rPr>
                <w:b/>
                <w:i w:val="0"/>
              </w:rPr>
              <w:t xml:space="preserve"> </w:t>
            </w:r>
            <w:r>
              <w:rPr>
                <w:b/>
                <w:i w:val="0"/>
              </w:rPr>
              <w:t>chú</w:t>
            </w:r>
          </w:p>
        </w:tc>
      </w:tr>
    </w:tbl>
    <w:p>
      <w:r>
        <w:rPr>
          <w:b w:val="0"/>
          <w:i w:val="0"/>
        </w:rPr>
        <w:t>b) Định mức lao động gián tiếp:</w:t>
      </w:r>
    </w:p>
    <w:p>
      <w:r>
        <w:rPr>
          <w:b w:val="0"/>
          <w:i w:val="0"/>
        </w:rPr>
        <w:t>Định mức lao động gián tiếp: 86.424 công/năm.</w:t>
      </w:r>
    </w:p>
    <w:p>
      <w:r>
        <w:rPr>
          <w:b/>
          <w:i w:val="0"/>
        </w:rPr>
        <w:t>2. Định mức tiêu thụ điện năng bơm tưới</w:t>
      </w:r>
    </w:p>
    <w:p>
      <w:r>
        <w:rPr>
          <w:b w:val="0"/>
          <w:i w:val="0"/>
        </w:rPr>
        <w:t xml:space="preserve">a) Định mức tiêu thụ điện năng bơm tưới chi tiết của từng chủng loại máy bơm theo mùa vụ như sau: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Loại máy bơm (m³/h)</w:t>
            </w:r>
          </w:p>
        </w:tc>
        <w:tc>
          <w:tcPr>
            <w:tcW w:type="dxa" w:w="2880"/>
          </w:tcPr>
          <w:p>
            <w:r>
              <w:rPr>
                <w:b w:val="0"/>
                <w:i w:val="0"/>
              </w:rPr>
              <w:br/>
            </w:r>
            <w:r>
              <w:rPr>
                <w:b/>
                <w:i w:val="0"/>
              </w:rPr>
              <w:t>E</w:t>
            </w:r>
            <w:r>
              <w:rPr>
                <w:b/>
                <w:i w:val="0"/>
              </w:rPr>
              <w:t>i 75%</w:t>
            </w:r>
            <w:r>
              <w:rPr>
                <w:b/>
                <w:i w:val="0"/>
              </w:rPr>
              <w:t xml:space="preserve"> </w:t>
            </w:r>
            <w:r>
              <w:rPr>
                <w:b/>
                <w:i w:val="0"/>
              </w:rPr>
              <w:t>máy bơm</w:t>
            </w:r>
            <w:r>
              <w:rPr>
                <w:b w:val="0"/>
                <w:i w:val="0"/>
              </w:rPr>
              <w:br/>
            </w:r>
            <w:r>
              <w:rPr>
                <w:b/>
                <w:i w:val="0"/>
              </w:rPr>
              <w:t>(kwh/ha/vụ)</w:t>
            </w:r>
          </w:p>
        </w:tc>
      </w:tr>
    </w:tbl>
    <w:p>
      <w:r>
        <w:rPr>
          <w:b w:val="0"/>
          <w:i w:val="0"/>
        </w:rPr>
        <w:t>b) Định mức tiêu thụ điện năng bơm tưới cho từng Chi nhánh của Công 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Đơn vị</w:t>
            </w:r>
          </w:p>
        </w:tc>
        <w:tc>
          <w:tcPr>
            <w:tcW w:type="dxa" w:w="2880"/>
          </w:tcPr>
          <w:p>
            <w:r>
              <w:rPr>
                <w:b w:val="0"/>
                <w:i w:val="0"/>
              </w:rPr>
              <w:br/>
            </w:r>
            <w:r>
              <w:rPr>
                <w:b/>
                <w:i w:val="0"/>
              </w:rPr>
              <w:t>Eth tưới (kwh/ha/vụ)</w:t>
            </w:r>
          </w:p>
        </w:tc>
      </w:tr>
    </w:tbl>
    <w:p>
      <w:r>
        <w:rPr>
          <w:b w:val="0"/>
          <w:i w:val="0"/>
        </w:rPr>
        <w:t>c) Hệ số điều chỉnh (Kđc) định mức tiêu thụ điện năng bơm tưới theo lượng mưa vụ thực tế: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Tần suất mưa P%</w:t>
            </w:r>
          </w:p>
        </w:tc>
        <w:tc>
          <w:tcPr>
            <w:tcW w:type="dxa" w:w="2160"/>
          </w:tcPr>
          <w:p>
            <w:r>
              <w:rPr>
                <w:b w:val="0"/>
                <w:i w:val="0"/>
              </w:rPr>
              <w:br/>
            </w:r>
            <w:r>
              <w:rPr>
                <w:b/>
                <w:i w:val="0"/>
              </w:rPr>
              <w:t>Vụ Đông Xuân</w:t>
            </w:r>
          </w:p>
        </w:tc>
        <w:tc>
          <w:tcPr>
            <w:tcW w:type="dxa" w:w="2160"/>
          </w:tcPr>
          <w:p>
            <w:r>
              <w:rPr>
                <w:b w:val="0"/>
                <w:i w:val="0"/>
              </w:rPr>
              <w:br/>
            </w:r>
            <w:r>
              <w:rPr>
                <w:b/>
                <w:i w:val="0"/>
              </w:rPr>
              <w:t>Vụ Hè Thu (vụ Mùa)</w:t>
            </w:r>
          </w:p>
        </w:tc>
        <w:tc>
          <w:tcPr>
            <w:tcW w:type="dxa" w:w="2160"/>
          </w:tcPr>
          <w:p>
            <w:r>
              <w:rPr>
                <w:b w:val="0"/>
                <w:i w:val="0"/>
              </w:rPr>
              <w:br/>
            </w:r>
            <w:r>
              <w:rPr>
                <w:b/>
                <w:i w:val="0"/>
              </w:rPr>
              <w:t>Vụ Đông</w:t>
            </w:r>
          </w:p>
        </w:tc>
      </w:tr>
    </w:tbl>
    <w:p>
      <w:r>
        <w:rPr>
          <w:b/>
          <w:i w:val="0"/>
        </w:rPr>
        <w:t>3. Định mức tiêu thụ điện năng bơm tiêu</w:t>
      </w:r>
    </w:p>
    <w:p>
      <w:r>
        <w:rPr>
          <w:b w:val="0"/>
          <w:i w:val="0"/>
        </w:rPr>
        <w:t xml:space="preserve">a) Định mức tiêu thụ điện năng bơm tiêu chi tiết cho từng chủng loại máy bơm vụ Hè Thu (vụ Mùa):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Loại máy bơm (m³/h)</w:t>
            </w:r>
          </w:p>
        </w:tc>
        <w:tc>
          <w:tcPr>
            <w:tcW w:type="dxa" w:w="2880"/>
          </w:tcPr>
          <w:p>
            <w:r>
              <w:rPr>
                <w:b w:val="0"/>
                <w:i w:val="0"/>
              </w:rPr>
              <w:br/>
            </w:r>
            <w:r>
              <w:rPr>
                <w:b/>
                <w:i w:val="0"/>
              </w:rPr>
              <w:t>E</w:t>
            </w:r>
            <w:r>
              <w:rPr>
                <w:b/>
                <w:i w:val="0"/>
              </w:rPr>
              <w:t>i tiêu</w:t>
            </w:r>
            <w:r>
              <w:rPr>
                <w:b/>
                <w:i w:val="0"/>
              </w:rPr>
              <w:t xml:space="preserve"> </w:t>
            </w:r>
            <w:r>
              <w:rPr>
                <w:b/>
                <w:i w:val="0"/>
              </w:rPr>
              <w:t>máy bơm</w:t>
            </w:r>
            <w:r>
              <w:rPr>
                <w:b w:val="0"/>
                <w:i w:val="0"/>
              </w:rPr>
              <w:br/>
            </w:r>
            <w:r>
              <w:rPr>
                <w:b/>
                <w:i w:val="0"/>
              </w:rPr>
              <w:t>(kwh/ha/vụ)</w:t>
            </w:r>
          </w:p>
        </w:tc>
      </w:tr>
    </w:tbl>
    <w:p>
      <w:r>
        <w:rPr>
          <w:b w:val="0"/>
          <w:i w:val="0"/>
        </w:rPr>
        <w:t xml:space="preserve">b) Định mức tiêu thụ điện năng bơm tiêu cho từng Chi nhánh của Công ty: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Đơn vị</w:t>
            </w:r>
          </w:p>
        </w:tc>
        <w:tc>
          <w:tcPr>
            <w:tcW w:type="dxa" w:w="2880"/>
          </w:tcPr>
          <w:p>
            <w:r>
              <w:rPr>
                <w:b w:val="0"/>
                <w:i w:val="0"/>
              </w:rPr>
              <w:br/>
            </w:r>
            <w:r>
              <w:rPr>
                <w:b/>
                <w:i w:val="0"/>
              </w:rPr>
              <w:t>Eth tiêu (kwh/ha/vụ)</w:t>
            </w:r>
          </w:p>
        </w:tc>
      </w:tr>
    </w:tbl>
    <w:p>
      <w:r>
        <w:rPr>
          <w:b w:val="0"/>
          <w:i w:val="0"/>
        </w:rPr>
        <w:t xml:space="preserve">c) Hệ số điều chỉnh định mức tiêu thụ điện năng bơm tiêu theo lượng mưa thực tế: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Tần suất mưa P%</w:t>
            </w:r>
          </w:p>
        </w:tc>
        <w:tc>
          <w:tcPr>
            <w:tcW w:type="dxa" w:w="4320"/>
          </w:tcPr>
          <w:p>
            <w:r>
              <w:rPr>
                <w:b w:val="0"/>
                <w:i w:val="0"/>
              </w:rPr>
              <w:br/>
            </w:r>
            <w:r>
              <w:rPr>
                <w:b/>
                <w:i w:val="0"/>
              </w:rPr>
              <w:t>Kđc</w:t>
            </w:r>
          </w:p>
        </w:tc>
      </w:tr>
    </w:tbl>
    <w:p>
      <w:r>
        <w:rPr>
          <w:b/>
          <w:i w:val="0"/>
        </w:rPr>
        <w:t>4. Định mức tiêu hao vật tư, nhiên liệu</w:t>
      </w:r>
    </w:p>
    <w:p>
      <w:r>
        <w:rPr>
          <w:b w:val="0"/>
          <w:i w:val="0"/>
        </w:rPr>
        <w:t xml:space="preserve">a) Định mức chi tiết tiêu hao vật tư, nhiên liệu bảo dưỡng máy bơm, động cơ: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TT</w:t>
            </w:r>
          </w:p>
        </w:tc>
        <w:tc>
          <w:tcPr>
            <w:tcW w:type="dxa" w:w="1080"/>
          </w:tcPr>
          <w:p>
            <w:r>
              <w:rPr>
                <w:b w:val="0"/>
                <w:i w:val="0"/>
              </w:rPr>
              <w:br/>
            </w:r>
            <w:r>
              <w:rPr>
                <w:b/>
                <w:i w:val="0"/>
              </w:rPr>
              <w:t>Loại máy bơm (m³/h)</w:t>
            </w:r>
          </w:p>
        </w:tc>
        <w:tc>
          <w:tcPr>
            <w:tcW w:type="dxa" w:w="1080"/>
          </w:tcPr>
          <w:p>
            <w:r>
              <w:rPr>
                <w:b w:val="0"/>
                <w:i w:val="0"/>
              </w:rPr>
              <w:br/>
            </w:r>
            <w:r>
              <w:rPr>
                <w:b/>
                <w:i w:val="0"/>
              </w:rPr>
              <w:t>Dầu nhờn (lít/ha)</w:t>
            </w:r>
          </w:p>
        </w:tc>
        <w:tc>
          <w:tcPr>
            <w:tcW w:type="dxa" w:w="1080"/>
          </w:tcPr>
          <w:p>
            <w:r>
              <w:rPr>
                <w:b w:val="0"/>
                <w:i w:val="0"/>
              </w:rPr>
              <w:br/>
            </w:r>
            <w:r>
              <w:rPr>
                <w:b/>
                <w:i w:val="0"/>
              </w:rPr>
              <w:t>Mỡ dùng cho máy bơm (kg/ha)</w:t>
            </w:r>
          </w:p>
        </w:tc>
        <w:tc>
          <w:tcPr>
            <w:tcW w:type="dxa" w:w="1080"/>
          </w:tcPr>
          <w:p>
            <w:r>
              <w:rPr>
                <w:b w:val="0"/>
                <w:i w:val="0"/>
              </w:rPr>
              <w:br/>
            </w:r>
            <w:r>
              <w:rPr>
                <w:b/>
                <w:i w:val="0"/>
              </w:rPr>
              <w:t>Mỡ dùng cho động cơ (kg/ha)</w:t>
            </w:r>
          </w:p>
        </w:tc>
        <w:tc>
          <w:tcPr>
            <w:tcW w:type="dxa" w:w="1080"/>
          </w:tcPr>
          <w:p>
            <w:r>
              <w:rPr>
                <w:b w:val="0"/>
                <w:i w:val="0"/>
              </w:rPr>
              <w:br/>
            </w:r>
            <w:r>
              <w:rPr>
                <w:b/>
                <w:i w:val="0"/>
              </w:rPr>
              <w:t>Dầu Diezel (lít/ha)</w:t>
            </w:r>
          </w:p>
        </w:tc>
        <w:tc>
          <w:tcPr>
            <w:tcW w:type="dxa" w:w="1080"/>
          </w:tcPr>
          <w:p>
            <w:r>
              <w:rPr>
                <w:b w:val="0"/>
                <w:i w:val="0"/>
              </w:rPr>
              <w:br/>
            </w:r>
            <w:r>
              <w:rPr>
                <w:b/>
                <w:i w:val="0"/>
              </w:rPr>
              <w:t>Giẻ lau (kg/ha)</w:t>
            </w:r>
          </w:p>
        </w:tc>
        <w:tc>
          <w:tcPr>
            <w:tcW w:type="dxa" w:w="1080"/>
          </w:tcPr>
          <w:p>
            <w:r>
              <w:rPr>
                <w:b w:val="0"/>
                <w:i w:val="0"/>
              </w:rPr>
              <w:br/>
            </w:r>
            <w:r>
              <w:rPr>
                <w:b/>
                <w:i w:val="0"/>
              </w:rPr>
              <w:t>Sợi Amiang (kg/ha)</w:t>
            </w:r>
          </w:p>
        </w:tc>
      </w:tr>
    </w:tbl>
    <w:p>
      <w:r>
        <w:rPr>
          <w:b w:val="0"/>
          <w:i w:val="0"/>
        </w:rPr>
        <w:t xml:space="preserve">b) Định mức chi tiết tiêu hao vật tư, nhiên liệu bảo dưỡng máy đóng mở, thiết bị nâng hạ: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Loại máy đóng mở và nâng hạ</w:t>
            </w:r>
          </w:p>
        </w:tc>
        <w:tc>
          <w:tcPr>
            <w:tcW w:type="dxa" w:w="1234"/>
          </w:tcPr>
          <w:p>
            <w:r>
              <w:rPr>
                <w:b w:val="0"/>
                <w:i w:val="0"/>
              </w:rPr>
              <w:br/>
            </w:r>
            <w:r>
              <w:rPr>
                <w:b/>
                <w:i w:val="0"/>
              </w:rPr>
              <w:t>Dầu nhờn (lít/năm)</w:t>
            </w:r>
          </w:p>
        </w:tc>
        <w:tc>
          <w:tcPr>
            <w:tcW w:type="dxa" w:w="1234"/>
          </w:tcPr>
          <w:p>
            <w:r>
              <w:rPr>
                <w:b w:val="0"/>
                <w:i w:val="0"/>
              </w:rPr>
              <w:br/>
            </w:r>
            <w:r>
              <w:rPr>
                <w:b/>
                <w:i w:val="0"/>
              </w:rPr>
              <w:t>Mỡ (kg/năm)</w:t>
            </w:r>
          </w:p>
        </w:tc>
        <w:tc>
          <w:tcPr>
            <w:tcW w:type="dxa" w:w="1234"/>
          </w:tcPr>
          <w:p>
            <w:r>
              <w:rPr>
                <w:b w:val="0"/>
                <w:i w:val="0"/>
              </w:rPr>
              <w:br/>
            </w:r>
            <w:r>
              <w:rPr>
                <w:b/>
                <w:i w:val="0"/>
              </w:rPr>
              <w:t>Dầu Diezel (lít/năm)</w:t>
            </w:r>
          </w:p>
        </w:tc>
        <w:tc>
          <w:tcPr>
            <w:tcW w:type="dxa" w:w="1234"/>
          </w:tcPr>
          <w:p>
            <w:r>
              <w:rPr>
                <w:b w:val="0"/>
                <w:i w:val="0"/>
              </w:rPr>
              <w:br/>
            </w:r>
            <w:r>
              <w:rPr>
                <w:b/>
                <w:i w:val="0"/>
              </w:rPr>
              <w:t>Giẻ lau (kg/năm)</w:t>
            </w:r>
          </w:p>
        </w:tc>
        <w:tc>
          <w:tcPr>
            <w:tcW w:type="dxa" w:w="1234"/>
          </w:tcPr>
          <w:p>
            <w:r>
              <w:rPr>
                <w:b w:val="0"/>
                <w:i w:val="0"/>
              </w:rPr>
              <w:br/>
            </w:r>
            <w:r>
              <w:rPr>
                <w:b/>
                <w:i w:val="0"/>
              </w:rPr>
              <w:t>Dầu thủy lực (lít/xilanh/ năm)</w:t>
            </w:r>
          </w:p>
        </w:tc>
      </w:tr>
    </w:tbl>
    <w:p>
      <w:r>
        <w:rPr>
          <w:b/>
          <w:i w:val="0"/>
        </w:rPr>
        <w:t xml:space="preserve">5. Định mức chi phí quản lý doanh nghiệp </w:t>
      </w:r>
    </w:p>
    <w:p>
      <w:r>
        <w:rPr>
          <w:b w:val="0"/>
          <w:i w:val="0"/>
        </w:rPr>
        <w:t>- Chi phí quản lý doanh nghiệp tính theo tỷ lệ % tổng chi phí sản xuất kinh doanh từ sản xuất, cung ứng sản phẩm, dịch vụ thủy lợi:</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ĐM</w:t>
            </w:r>
            <w:r>
              <w:rPr>
                <w:b w:val="0"/>
                <w:i w:val="0"/>
              </w:rPr>
              <w:t>CPQLDN</w:t>
            </w:r>
            <w:r>
              <w:rPr>
                <w:b w:val="0"/>
                <w:i w:val="0"/>
              </w:rPr>
              <w:t xml:space="preserve"> = 6,93%.</w:t>
            </w:r>
          </w:p>
        </w:tc>
      </w:tr>
    </w:tbl>
    <w:p>
      <w:r>
        <w:rPr>
          <w:b w:val="0"/>
          <w:i w:val="0"/>
        </w:rPr>
        <w:t>- Chi phí quản lý doanh nghiệp tính theo tỷ lệ % tổng quỹ tiền lương kế hoạch:</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ĐM</w:t>
            </w:r>
            <w:r>
              <w:rPr>
                <w:b w:val="0"/>
                <w:i w:val="0"/>
              </w:rPr>
              <w:t>CPQLDN</w:t>
            </w:r>
            <w:r>
              <w:rPr>
                <w:b w:val="0"/>
                <w:i w:val="0"/>
              </w:rPr>
              <w:t xml:space="preserve"> = 15,64%.</w:t>
            </w:r>
          </w:p>
        </w:tc>
      </w:tr>
    </w:tbl>
    <w:p>
      <w:r>
        <w:rPr>
          <w:b/>
          <w:i w:val="0"/>
        </w:rPr>
        <w:t>Điều 2. Triển khai thực hiện</w:t>
      </w:r>
    </w:p>
    <w:p>
      <w:r>
        <w:rPr>
          <w:b w:val="0"/>
          <w:i w:val="0"/>
        </w:rPr>
        <w:t>1. Công ty TNHH một thành viên Sông Chu chịu trách nhiệm toàn diện trước pháp luật về tính chính xác, tính pháp lý và việc đảm bảo các điều kiện, tiêu chuẩn theo quy định của hồ sơ, số liệu báo cáo, số liệu thống kê, khảo sát, thực nghiệm lập hồ sơ xây dựng định mức kinh tế - kỹ thuật trong quản lý, khai thác công trình thủy lợi do Công ty quản lý, khai thác, đảm bảo đúng quy định.</w:t>
      </w:r>
    </w:p>
    <w:p>
      <w:r>
        <w:rPr>
          <w:b w:val="0"/>
          <w:i w:val="0"/>
        </w:rPr>
        <w:t>2. Định mức kinh tế - kỹ thuật ban hành tại Quyết định này làm cơ sở để lập và quản lý kế hoạch, đặt hàng, đấu thầu công tác quản lý, khai thác công trình thủy lợi, thanh quyết toán các khoản mục chi phí quản lý, khai thác công trình thủy lợi hàng năm đối với Công ty TNHH một thành viên Sông Chu quản lý.</w:t>
      </w:r>
    </w:p>
    <w:p>
      <w:r>
        <w:rPr>
          <w:b w:val="0"/>
          <w:i w:val="0"/>
        </w:rPr>
        <w:t>3. Sở Nông nghiệp và PTNT chủ trì, phối hợp với Sở Tài chính, Sở Lao động - Thương binh và Xã hội và các đơn vị có liên quan chịu trách nhiệm hướng dẫn, kiểm tra việc áp dụng các định mức; giải quyết những vướng mắc phát sinh trong quá trình thực hiện; tổng kết, báo cáo UBND tỉnh sửa đổi, bổ sung cho phù hợp.</w:t>
      </w:r>
    </w:p>
    <w:p>
      <w:r>
        <w:rPr>
          <w:b/>
          <w:i w:val="0"/>
        </w:rPr>
        <w:t>Điều 3. Điều khoản thi hành</w:t>
      </w:r>
    </w:p>
    <w:p>
      <w:r>
        <w:rPr>
          <w:b w:val="0"/>
          <w:i w:val="0"/>
        </w:rPr>
        <w:t>1. Quyết định này có hiệu lực thi hành kể từ ngày 25/02/2025 và thay thế Quyết định số 319/QĐ-UBND ngày 20/01/2012 của UBND tỉnh về việc phê duyệt các Định mức kinh tế - kỹ thuật trong công tác quản lý, khai thác và bảo vệ công trình thủy lợi của Công ty TNHH một thành viên Sông Chu và Quyết định số 412/QĐ-UBND ngày 10/02/2012 của UBND tỉnh về việc phê duyệt Định mức lao động, định mức chi phí quản lý doanh nghiệp trong công tác quản lý, khai thác và bảo vệ công trình thủy lợi của Công ty TNHH một thành viên Sông Chu.</w:t>
      </w:r>
    </w:p>
    <w:p>
      <w:r>
        <w:rPr>
          <w:b w:val="0"/>
          <w:i w:val="0"/>
        </w:rPr>
        <w:t>2. Chánh Văn phòng UBND tỉnh, Giám đốc các Sở: Nông nghiệp và PTNT, Tài chính, Kế hoạch và Đầu tư, Lao động - Thương binh và Xã hội, Nội vụ, Chủ tịch UBND các huyện, thị xã, thành phố và Chủ tịch Hội đồng thành viên, Tổng Giám đốc Công ty TNHH một thành viên Sông Chu và Thủ trưởng các đơn vị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Đức Giang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Đức Giang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Đức Giang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Đức Giang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